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F155" w14:textId="77777777" w:rsidR="00924350" w:rsidRDefault="007F5204" w:rsidP="006C4504">
      <w:pPr>
        <w:pStyle w:val="BodyText"/>
        <w:ind w:left="3402" w:right="-7" w:firstLine="0"/>
        <w:jc w:val="right"/>
        <w:rPr>
          <w:rStyle w:val="BodyTextChar"/>
          <w:sz w:val="24"/>
          <w:szCs w:val="24"/>
        </w:rPr>
      </w:pPr>
      <w:r w:rsidRPr="00567072">
        <w:rPr>
          <w:rStyle w:val="BodyTextChar"/>
          <w:sz w:val="24"/>
          <w:szCs w:val="24"/>
        </w:rPr>
        <w:t xml:space="preserve">APSTIPRINĀTS </w:t>
      </w:r>
    </w:p>
    <w:p w14:paraId="53E9A229" w14:textId="0C508153" w:rsidR="00CF3C0F" w:rsidRPr="00567072" w:rsidRDefault="007F5204" w:rsidP="006C4504">
      <w:pPr>
        <w:pStyle w:val="BodyText"/>
        <w:ind w:left="3402" w:right="-7" w:firstLine="0"/>
        <w:jc w:val="right"/>
        <w:rPr>
          <w:sz w:val="24"/>
          <w:szCs w:val="24"/>
        </w:rPr>
      </w:pPr>
      <w:r w:rsidRPr="00567072">
        <w:rPr>
          <w:rStyle w:val="BodyTextChar"/>
          <w:sz w:val="24"/>
          <w:szCs w:val="24"/>
        </w:rPr>
        <w:t>ar Nacionālās elektronisko plašsaziņas līdzekļu padomes 2017.</w:t>
      </w:r>
      <w:r w:rsidR="00310CD0">
        <w:rPr>
          <w:rStyle w:val="BodyTextChar"/>
          <w:sz w:val="24"/>
          <w:szCs w:val="24"/>
        </w:rPr>
        <w:t> </w:t>
      </w:r>
      <w:r w:rsidRPr="00567072">
        <w:rPr>
          <w:rStyle w:val="BodyTextChar"/>
          <w:sz w:val="24"/>
          <w:szCs w:val="24"/>
        </w:rPr>
        <w:t>gada 7.</w:t>
      </w:r>
      <w:r w:rsidR="00310CD0">
        <w:rPr>
          <w:rStyle w:val="BodyTextChar"/>
          <w:sz w:val="24"/>
          <w:szCs w:val="24"/>
        </w:rPr>
        <w:t> </w:t>
      </w:r>
      <w:r w:rsidRPr="00567072">
        <w:rPr>
          <w:rStyle w:val="BodyTextChar"/>
          <w:sz w:val="24"/>
          <w:szCs w:val="24"/>
        </w:rPr>
        <w:t>decembra rīkojumu Nr.</w:t>
      </w:r>
      <w:r w:rsidR="00310CD0">
        <w:rPr>
          <w:rStyle w:val="BodyTextChar"/>
          <w:sz w:val="24"/>
          <w:szCs w:val="24"/>
        </w:rPr>
        <w:t> </w:t>
      </w:r>
      <w:r w:rsidRPr="00567072">
        <w:rPr>
          <w:rStyle w:val="BodyTextChar"/>
          <w:sz w:val="24"/>
          <w:szCs w:val="24"/>
        </w:rPr>
        <w:t>2-5/14</w:t>
      </w:r>
    </w:p>
    <w:p w14:paraId="0F91665D" w14:textId="77777777" w:rsidR="00924350" w:rsidRDefault="00924350" w:rsidP="006C4504">
      <w:pPr>
        <w:pStyle w:val="BodyText"/>
        <w:ind w:left="3402" w:right="-7" w:firstLine="0"/>
        <w:jc w:val="right"/>
        <w:rPr>
          <w:rStyle w:val="BodyTextChar"/>
          <w:sz w:val="24"/>
          <w:szCs w:val="24"/>
        </w:rPr>
      </w:pPr>
    </w:p>
    <w:p w14:paraId="26058314" w14:textId="1B34D3D0" w:rsidR="00924350" w:rsidRPr="005B1E05" w:rsidRDefault="00924350" w:rsidP="006C4504">
      <w:pPr>
        <w:pStyle w:val="BodyText"/>
        <w:ind w:left="3402" w:right="-7" w:firstLine="0"/>
        <w:jc w:val="right"/>
        <w:rPr>
          <w:rStyle w:val="BodyTextChar"/>
          <w:sz w:val="24"/>
          <w:szCs w:val="24"/>
        </w:rPr>
      </w:pPr>
      <w:r w:rsidRPr="005B1E05">
        <w:rPr>
          <w:rStyle w:val="BodyTextChar"/>
          <w:sz w:val="24"/>
          <w:szCs w:val="24"/>
        </w:rPr>
        <w:t xml:space="preserve">GROZĪTS </w:t>
      </w:r>
    </w:p>
    <w:p w14:paraId="3C826025" w14:textId="6EC10780" w:rsidR="00924350" w:rsidRPr="00567072" w:rsidRDefault="00924350" w:rsidP="006C4504">
      <w:pPr>
        <w:pStyle w:val="BodyText"/>
        <w:ind w:left="3402" w:right="-7" w:firstLine="0"/>
        <w:jc w:val="right"/>
        <w:rPr>
          <w:sz w:val="24"/>
          <w:szCs w:val="24"/>
        </w:rPr>
      </w:pPr>
      <w:r w:rsidRPr="005B1E05">
        <w:rPr>
          <w:rStyle w:val="BodyTextChar"/>
          <w:sz w:val="24"/>
          <w:szCs w:val="24"/>
        </w:rPr>
        <w:t>ar Nacionālās elektronisko plašsaziņas līdzekļu padomes</w:t>
      </w:r>
      <w:r w:rsidR="00310CD0">
        <w:rPr>
          <w:rStyle w:val="BodyTextChar"/>
          <w:sz w:val="24"/>
          <w:szCs w:val="24"/>
        </w:rPr>
        <w:t xml:space="preserve"> </w:t>
      </w:r>
      <w:r w:rsidRPr="005B1E05">
        <w:rPr>
          <w:rStyle w:val="BodyTextChar"/>
          <w:sz w:val="24"/>
          <w:szCs w:val="24"/>
        </w:rPr>
        <w:t>2022.</w:t>
      </w:r>
      <w:r w:rsidR="00310CD0">
        <w:rPr>
          <w:rStyle w:val="BodyTextChar"/>
          <w:sz w:val="24"/>
          <w:szCs w:val="24"/>
        </w:rPr>
        <w:t> </w:t>
      </w:r>
      <w:r w:rsidRPr="005B1E05">
        <w:rPr>
          <w:rStyle w:val="BodyTextChar"/>
          <w:sz w:val="24"/>
          <w:szCs w:val="24"/>
        </w:rPr>
        <w:t xml:space="preserve">gada </w:t>
      </w:r>
      <w:r w:rsidR="00310CD0">
        <w:rPr>
          <w:rStyle w:val="BodyTextChar"/>
          <w:sz w:val="24"/>
          <w:szCs w:val="24"/>
        </w:rPr>
        <w:t>1. aprīļa</w:t>
      </w:r>
      <w:r w:rsidRPr="005B1E05">
        <w:rPr>
          <w:rStyle w:val="BodyTextChar"/>
          <w:sz w:val="24"/>
          <w:szCs w:val="24"/>
        </w:rPr>
        <w:t xml:space="preserve"> rīkojumu Nr.</w:t>
      </w:r>
      <w:r w:rsidR="00310CD0">
        <w:rPr>
          <w:rStyle w:val="BodyTextChar"/>
          <w:sz w:val="24"/>
          <w:szCs w:val="24"/>
        </w:rPr>
        <w:t> </w:t>
      </w:r>
      <w:r w:rsidR="005B1E05" w:rsidRPr="005B1E05">
        <w:rPr>
          <w:rStyle w:val="BodyTextChar"/>
          <w:sz w:val="24"/>
          <w:szCs w:val="24"/>
        </w:rPr>
        <w:t>10/2-5</w:t>
      </w:r>
    </w:p>
    <w:p w14:paraId="38A36E96" w14:textId="77777777" w:rsidR="00924350" w:rsidRPr="006C4504" w:rsidRDefault="00924350" w:rsidP="006C4504">
      <w:pPr>
        <w:pStyle w:val="BodyText"/>
        <w:ind w:firstLine="0"/>
        <w:rPr>
          <w:rStyle w:val="BodyTextChar"/>
          <w:b/>
          <w:bCs/>
          <w:sz w:val="24"/>
          <w:szCs w:val="24"/>
        </w:rPr>
      </w:pPr>
    </w:p>
    <w:p w14:paraId="44FECFAB" w14:textId="69438A9D" w:rsidR="00CF3C0F" w:rsidRDefault="007F5204" w:rsidP="006C4504">
      <w:pPr>
        <w:pStyle w:val="BodyText"/>
        <w:ind w:firstLine="0"/>
        <w:jc w:val="center"/>
        <w:rPr>
          <w:rStyle w:val="BodyTextChar"/>
          <w:b/>
          <w:bCs/>
          <w:sz w:val="24"/>
          <w:szCs w:val="24"/>
        </w:rPr>
      </w:pPr>
      <w:r w:rsidRPr="006C4504">
        <w:rPr>
          <w:rStyle w:val="BodyTextChar"/>
          <w:b/>
          <w:bCs/>
          <w:sz w:val="24"/>
          <w:szCs w:val="24"/>
        </w:rPr>
        <w:t>NACIONĀLĀS ELEKTRONISKO PLAŠSAZIŅAS LĪDZEKĻU PADOMES</w:t>
      </w:r>
      <w:r w:rsidRPr="006C4504">
        <w:rPr>
          <w:rStyle w:val="BodyTextChar"/>
          <w:b/>
          <w:bCs/>
          <w:sz w:val="24"/>
          <w:szCs w:val="24"/>
        </w:rPr>
        <w:br/>
        <w:t>PRETKORUPCIJAS PASĀKUMU PLĀNS</w:t>
      </w:r>
    </w:p>
    <w:p w14:paraId="5F29A078" w14:textId="77777777" w:rsidR="006C4504" w:rsidRPr="006C4504" w:rsidRDefault="006C4504" w:rsidP="006C4504">
      <w:pPr>
        <w:pStyle w:val="BodyText"/>
        <w:ind w:firstLine="0"/>
        <w:jc w:val="center"/>
        <w:rPr>
          <w:b/>
          <w:bCs/>
          <w:sz w:val="24"/>
          <w:szCs w:val="24"/>
        </w:rPr>
      </w:pPr>
    </w:p>
    <w:p w14:paraId="7E71A59D" w14:textId="77777777" w:rsidR="00CF3C0F" w:rsidRPr="00567072" w:rsidRDefault="007F5204" w:rsidP="009131F9">
      <w:pPr>
        <w:pStyle w:val="Bodytext20"/>
        <w:numPr>
          <w:ilvl w:val="0"/>
          <w:numId w:val="1"/>
        </w:numPr>
        <w:tabs>
          <w:tab w:val="left" w:pos="284"/>
        </w:tabs>
        <w:spacing w:after="280"/>
        <w:ind w:left="0" w:firstLine="0"/>
        <w:jc w:val="center"/>
      </w:pPr>
      <w:r w:rsidRPr="00567072">
        <w:rPr>
          <w:rStyle w:val="Bodytext2"/>
          <w:b/>
          <w:bCs/>
        </w:rPr>
        <w:t>Pretkorupcijas pasākumu plāna mērķi un uzdevumi</w:t>
      </w:r>
    </w:p>
    <w:p w14:paraId="68EB77B6" w14:textId="7AFD1EF7" w:rsidR="00CF3C0F" w:rsidRPr="00567072" w:rsidRDefault="007F5204" w:rsidP="00296150">
      <w:pPr>
        <w:pStyle w:val="BodyText"/>
        <w:numPr>
          <w:ilvl w:val="1"/>
          <w:numId w:val="1"/>
        </w:numPr>
        <w:tabs>
          <w:tab w:val="left" w:pos="650"/>
        </w:tabs>
        <w:ind w:left="567" w:hanging="567"/>
        <w:jc w:val="both"/>
        <w:rPr>
          <w:sz w:val="24"/>
          <w:szCs w:val="24"/>
        </w:rPr>
      </w:pPr>
      <w:r w:rsidRPr="00567072">
        <w:rPr>
          <w:rStyle w:val="BodyTextChar"/>
          <w:sz w:val="24"/>
          <w:szCs w:val="24"/>
        </w:rPr>
        <w:t>Nacionālās elektronisko plašsaziņas līdzekļu padomes Pretkorupcijas pasākumu plāna</w:t>
      </w:r>
      <w:r w:rsidR="005B1E05">
        <w:rPr>
          <w:rStyle w:val="BodyTextChar"/>
          <w:sz w:val="24"/>
          <w:szCs w:val="24"/>
        </w:rPr>
        <w:t> </w:t>
      </w:r>
      <w:r w:rsidRPr="00567072">
        <w:rPr>
          <w:rStyle w:val="BodyTextChar"/>
          <w:sz w:val="24"/>
          <w:szCs w:val="24"/>
        </w:rPr>
        <w:t>(turpmāk arī - Plāns) mērķis ir nodrošināt korupcijas risku vadību un pretkorupcijas pasākumu plānošanu un izpildes uzraudzību.</w:t>
      </w:r>
    </w:p>
    <w:p w14:paraId="2C5C6EBD" w14:textId="0943F294" w:rsidR="00CF3C0F" w:rsidRPr="00567072" w:rsidRDefault="007F5204" w:rsidP="00296150">
      <w:pPr>
        <w:pStyle w:val="BodyText"/>
        <w:numPr>
          <w:ilvl w:val="1"/>
          <w:numId w:val="1"/>
        </w:numPr>
        <w:tabs>
          <w:tab w:val="left" w:pos="650"/>
        </w:tabs>
        <w:ind w:left="567" w:hanging="567"/>
        <w:jc w:val="both"/>
        <w:rPr>
          <w:sz w:val="24"/>
          <w:szCs w:val="24"/>
        </w:rPr>
      </w:pPr>
      <w:r w:rsidRPr="00567072">
        <w:rPr>
          <w:rStyle w:val="BodyTextChar"/>
          <w:sz w:val="24"/>
          <w:szCs w:val="24"/>
        </w:rPr>
        <w:t xml:space="preserve">Nacionālās elektronisko plašsaziņas līdzekļu padomes (turpmāk arī </w:t>
      </w:r>
      <w:r w:rsidR="00D20893">
        <w:rPr>
          <w:rStyle w:val="BodyTextChar"/>
          <w:sz w:val="24"/>
          <w:szCs w:val="24"/>
        </w:rPr>
        <w:t xml:space="preserve">– </w:t>
      </w:r>
      <w:r w:rsidRPr="00567072">
        <w:rPr>
          <w:rStyle w:val="BodyTextChar"/>
          <w:sz w:val="24"/>
          <w:szCs w:val="24"/>
        </w:rPr>
        <w:t>Padome) Pretkorupcijas pasākumu plāna uzdevumi:</w:t>
      </w:r>
    </w:p>
    <w:p w14:paraId="71111888" w14:textId="0BEF4B54" w:rsidR="00CF3C0F" w:rsidRPr="00567072" w:rsidRDefault="002A5A1B" w:rsidP="00296150">
      <w:pPr>
        <w:pStyle w:val="BodyText"/>
        <w:numPr>
          <w:ilvl w:val="2"/>
          <w:numId w:val="1"/>
        </w:numPr>
        <w:tabs>
          <w:tab w:val="left" w:pos="1276"/>
        </w:tabs>
        <w:ind w:left="1276" w:hanging="709"/>
        <w:jc w:val="both"/>
        <w:rPr>
          <w:sz w:val="24"/>
          <w:szCs w:val="24"/>
        </w:rPr>
      </w:pPr>
      <w:r>
        <w:rPr>
          <w:rStyle w:val="BodyTextChar"/>
          <w:sz w:val="24"/>
          <w:szCs w:val="24"/>
        </w:rPr>
        <w:t>i</w:t>
      </w:r>
      <w:r w:rsidR="007F5204" w:rsidRPr="00567072">
        <w:rPr>
          <w:rStyle w:val="BodyTextChar"/>
          <w:sz w:val="24"/>
          <w:szCs w:val="24"/>
        </w:rPr>
        <w:t>dentificēt un novērtēt pēc prioritātes negodprātīgas rīcības riskus institūcijas funkciju izpildē;</w:t>
      </w:r>
    </w:p>
    <w:p w14:paraId="37E70B5F" w14:textId="3322E251" w:rsidR="00CF3C0F" w:rsidRPr="00567072" w:rsidRDefault="002A5A1B" w:rsidP="00296150">
      <w:pPr>
        <w:pStyle w:val="BodyText"/>
        <w:numPr>
          <w:ilvl w:val="2"/>
          <w:numId w:val="1"/>
        </w:numPr>
        <w:tabs>
          <w:tab w:val="left" w:pos="1276"/>
        </w:tabs>
        <w:ind w:left="1276" w:hanging="709"/>
        <w:jc w:val="both"/>
        <w:rPr>
          <w:sz w:val="24"/>
          <w:szCs w:val="24"/>
        </w:rPr>
      </w:pPr>
      <w:r>
        <w:rPr>
          <w:rStyle w:val="BodyTextChar"/>
          <w:sz w:val="24"/>
          <w:szCs w:val="24"/>
        </w:rPr>
        <w:t>p</w:t>
      </w:r>
      <w:r w:rsidR="007F5204" w:rsidRPr="00567072">
        <w:rPr>
          <w:rStyle w:val="BodyTextChar"/>
          <w:sz w:val="24"/>
          <w:szCs w:val="24"/>
        </w:rPr>
        <w:t>recīzi formulēt nepieciešamos pasākumus korupcijas risku atklāšanai, ierobežošanai vai kompensēšanai;</w:t>
      </w:r>
    </w:p>
    <w:p w14:paraId="35AC1FFE" w14:textId="2BF6B466" w:rsidR="00CF3C0F" w:rsidRPr="00567072" w:rsidRDefault="002A5A1B" w:rsidP="00296150">
      <w:pPr>
        <w:pStyle w:val="BodyText"/>
        <w:numPr>
          <w:ilvl w:val="2"/>
          <w:numId w:val="1"/>
        </w:numPr>
        <w:tabs>
          <w:tab w:val="left" w:pos="1276"/>
        </w:tabs>
        <w:ind w:left="1276" w:hanging="709"/>
        <w:jc w:val="both"/>
        <w:rPr>
          <w:sz w:val="24"/>
          <w:szCs w:val="24"/>
        </w:rPr>
      </w:pPr>
      <w:r>
        <w:rPr>
          <w:rStyle w:val="BodyTextChar"/>
          <w:sz w:val="24"/>
          <w:szCs w:val="24"/>
        </w:rPr>
        <w:t>i</w:t>
      </w:r>
      <w:r w:rsidR="007F5204" w:rsidRPr="00567072">
        <w:rPr>
          <w:rStyle w:val="BodyTextChar"/>
          <w:sz w:val="24"/>
          <w:szCs w:val="24"/>
        </w:rPr>
        <w:t>esaistīt vadību un darbiniekus pretkorupcijas pasākumos;</w:t>
      </w:r>
    </w:p>
    <w:p w14:paraId="27541D01" w14:textId="0FEC0BD7" w:rsidR="00CF3C0F" w:rsidRPr="00567072" w:rsidRDefault="002A5A1B" w:rsidP="00296150">
      <w:pPr>
        <w:pStyle w:val="BodyText"/>
        <w:numPr>
          <w:ilvl w:val="2"/>
          <w:numId w:val="1"/>
        </w:numPr>
        <w:tabs>
          <w:tab w:val="left" w:pos="1276"/>
        </w:tabs>
        <w:ind w:left="1276" w:hanging="709"/>
        <w:jc w:val="both"/>
        <w:rPr>
          <w:sz w:val="24"/>
          <w:szCs w:val="24"/>
        </w:rPr>
      </w:pPr>
      <w:r>
        <w:rPr>
          <w:rStyle w:val="BodyTextChar"/>
          <w:sz w:val="24"/>
          <w:szCs w:val="24"/>
        </w:rPr>
        <w:t>i</w:t>
      </w:r>
      <w:r w:rsidR="007F5204" w:rsidRPr="00567072">
        <w:rPr>
          <w:rStyle w:val="BodyTextChar"/>
          <w:sz w:val="24"/>
          <w:szCs w:val="24"/>
        </w:rPr>
        <w:t>zglītot darbiniekus par problēmām, ar kādām var nākties saskarties, pildot savas funkcijas un vēlamajiem risinājumiem;</w:t>
      </w:r>
    </w:p>
    <w:p w14:paraId="60E97F03" w14:textId="1EA1E99D" w:rsidR="00CF3C0F" w:rsidRPr="00567072" w:rsidRDefault="002A5A1B" w:rsidP="00296150">
      <w:pPr>
        <w:pStyle w:val="BodyText"/>
        <w:numPr>
          <w:ilvl w:val="2"/>
          <w:numId w:val="1"/>
        </w:numPr>
        <w:tabs>
          <w:tab w:val="left" w:pos="1276"/>
        </w:tabs>
        <w:spacing w:after="360"/>
        <w:ind w:left="1276" w:hanging="709"/>
        <w:jc w:val="both"/>
        <w:rPr>
          <w:sz w:val="24"/>
          <w:szCs w:val="24"/>
        </w:rPr>
      </w:pPr>
      <w:r>
        <w:rPr>
          <w:rStyle w:val="BodyTextChar"/>
          <w:sz w:val="24"/>
          <w:szCs w:val="24"/>
        </w:rPr>
        <w:t>u</w:t>
      </w:r>
      <w:r w:rsidR="007F5204" w:rsidRPr="00567072">
        <w:rPr>
          <w:rStyle w:val="BodyTextChar"/>
          <w:sz w:val="24"/>
          <w:szCs w:val="24"/>
        </w:rPr>
        <w:t>zraudzīt situāciju.</w:t>
      </w:r>
    </w:p>
    <w:p w14:paraId="78BA7326" w14:textId="77777777" w:rsidR="00CF3C0F" w:rsidRPr="00567072" w:rsidRDefault="007F5204" w:rsidP="00A103FE">
      <w:pPr>
        <w:pStyle w:val="Bodytext20"/>
        <w:numPr>
          <w:ilvl w:val="0"/>
          <w:numId w:val="1"/>
        </w:numPr>
        <w:tabs>
          <w:tab w:val="left" w:pos="284"/>
        </w:tabs>
        <w:spacing w:after="280"/>
        <w:ind w:left="0" w:firstLine="0"/>
        <w:jc w:val="center"/>
      </w:pPr>
      <w:r w:rsidRPr="00567072">
        <w:rPr>
          <w:rStyle w:val="Bodytext2"/>
          <w:b/>
          <w:bCs/>
        </w:rPr>
        <w:t>Padomes darbības veids, uzbūve un kompetence</w:t>
      </w:r>
    </w:p>
    <w:p w14:paraId="5FBC910C" w14:textId="77777777" w:rsidR="00D94F9C" w:rsidRDefault="007F5204" w:rsidP="00D94F9C">
      <w:pPr>
        <w:pStyle w:val="BodyText"/>
        <w:numPr>
          <w:ilvl w:val="1"/>
          <w:numId w:val="1"/>
        </w:numPr>
        <w:tabs>
          <w:tab w:val="left" w:pos="567"/>
        </w:tabs>
        <w:ind w:left="567" w:hanging="567"/>
        <w:jc w:val="both"/>
        <w:rPr>
          <w:rStyle w:val="BodyTextChar"/>
          <w:sz w:val="24"/>
          <w:szCs w:val="24"/>
        </w:rPr>
      </w:pPr>
      <w:r w:rsidRPr="00D94F9C">
        <w:rPr>
          <w:rStyle w:val="BodyTextChar"/>
          <w:sz w:val="24"/>
          <w:szCs w:val="24"/>
        </w:rPr>
        <w:t>Nacionālā elektronisko plašsaziņas līdzekļu padome ir neatkarīga pilntiesīga autonoma institūcija, kas atbilstoši savai kompetencei pārstāv sabiedrības intereses elektronisko plašsaziņas līdzekļu jomā, kā arī uzrauga, lai to darbībā tiktu ievērota Latvijas Republikas Satversme, Elektronisko plašsaziņas līdzekļu likums (turpmāk - EPLL) un citi normatīvie akti. Padome ir atvasināta publiska persona.</w:t>
      </w:r>
    </w:p>
    <w:p w14:paraId="1D37C605" w14:textId="77777777" w:rsidR="00D94F9C" w:rsidRDefault="007F5204" w:rsidP="00D94F9C">
      <w:pPr>
        <w:pStyle w:val="BodyText"/>
        <w:numPr>
          <w:ilvl w:val="1"/>
          <w:numId w:val="1"/>
        </w:numPr>
        <w:tabs>
          <w:tab w:val="left" w:pos="567"/>
        </w:tabs>
        <w:ind w:left="567" w:hanging="567"/>
        <w:jc w:val="both"/>
        <w:rPr>
          <w:sz w:val="24"/>
          <w:szCs w:val="24"/>
        </w:rPr>
      </w:pPr>
      <w:r w:rsidRPr="00D94F9C">
        <w:rPr>
          <w:rStyle w:val="BodyTextChar"/>
          <w:sz w:val="24"/>
          <w:szCs w:val="24"/>
        </w:rPr>
        <w:t>Padome ir koleģiāla lēmējinstitūcija, kura nodrošina EPLL noteikto Padomes funkciju īstenošanu, pieņemot lēmumus, kas saskaņā ar normatīvajiem aktiem ietilpst Padomes kompetencē.</w:t>
      </w:r>
    </w:p>
    <w:p w14:paraId="3A65E985" w14:textId="6B830A87" w:rsidR="00CF3C0F" w:rsidRPr="00D94F9C" w:rsidRDefault="007F5204" w:rsidP="00D94F9C">
      <w:pPr>
        <w:pStyle w:val="BodyText"/>
        <w:numPr>
          <w:ilvl w:val="1"/>
          <w:numId w:val="1"/>
        </w:numPr>
        <w:tabs>
          <w:tab w:val="left" w:pos="567"/>
        </w:tabs>
        <w:ind w:left="567" w:hanging="567"/>
        <w:jc w:val="both"/>
        <w:rPr>
          <w:sz w:val="24"/>
          <w:szCs w:val="24"/>
        </w:rPr>
      </w:pPr>
      <w:r w:rsidRPr="00D94F9C">
        <w:rPr>
          <w:rStyle w:val="BodyTextChar"/>
          <w:sz w:val="24"/>
          <w:szCs w:val="24"/>
        </w:rPr>
        <w:t>Padomi veido:</w:t>
      </w:r>
    </w:p>
    <w:p w14:paraId="6A5208A7" w14:textId="77777777" w:rsidR="00D94F9C" w:rsidRDefault="007F5204" w:rsidP="00D94F9C">
      <w:pPr>
        <w:pStyle w:val="BodyText"/>
        <w:numPr>
          <w:ilvl w:val="2"/>
          <w:numId w:val="1"/>
        </w:numPr>
        <w:ind w:left="1276" w:hanging="709"/>
        <w:jc w:val="both"/>
        <w:rPr>
          <w:sz w:val="24"/>
          <w:szCs w:val="24"/>
        </w:rPr>
      </w:pPr>
      <w:r w:rsidRPr="00567072">
        <w:rPr>
          <w:rStyle w:val="BodyTextChar"/>
          <w:sz w:val="24"/>
          <w:szCs w:val="24"/>
        </w:rPr>
        <w:t>koleģiāla lēmējinstitūcija - padome, kas sastāv no pieciem Padomes locekļiem, kurus ievēlē Saeima;</w:t>
      </w:r>
    </w:p>
    <w:p w14:paraId="42CE1C88" w14:textId="77008743" w:rsidR="00CF3C0F" w:rsidRPr="00D94F9C" w:rsidRDefault="007F5204" w:rsidP="00D94F9C">
      <w:pPr>
        <w:pStyle w:val="BodyText"/>
        <w:numPr>
          <w:ilvl w:val="2"/>
          <w:numId w:val="1"/>
        </w:numPr>
        <w:ind w:left="1276" w:hanging="709"/>
        <w:jc w:val="both"/>
        <w:rPr>
          <w:sz w:val="24"/>
          <w:szCs w:val="24"/>
        </w:rPr>
      </w:pPr>
      <w:r w:rsidRPr="00D94F9C">
        <w:rPr>
          <w:rStyle w:val="BodyTextChar"/>
          <w:sz w:val="24"/>
          <w:szCs w:val="24"/>
        </w:rPr>
        <w:t>Padomes darbības nodrošināšanai izveidotas struktūrvienības, kas veido Padomes sekretariātu.</w:t>
      </w:r>
    </w:p>
    <w:p w14:paraId="78295290" w14:textId="13FF03DA" w:rsidR="00CF3C0F" w:rsidRPr="00567072" w:rsidRDefault="007F5204" w:rsidP="002128FD">
      <w:pPr>
        <w:pStyle w:val="BodyText"/>
        <w:numPr>
          <w:ilvl w:val="1"/>
          <w:numId w:val="1"/>
        </w:numPr>
        <w:tabs>
          <w:tab w:val="left" w:pos="515"/>
        </w:tabs>
        <w:spacing w:line="283" w:lineRule="auto"/>
        <w:ind w:left="567" w:hanging="567"/>
        <w:jc w:val="both"/>
        <w:rPr>
          <w:sz w:val="24"/>
          <w:szCs w:val="24"/>
        </w:rPr>
      </w:pPr>
      <w:r w:rsidRPr="00567072">
        <w:rPr>
          <w:rStyle w:val="BodyTextChar"/>
          <w:sz w:val="24"/>
          <w:szCs w:val="24"/>
        </w:rPr>
        <w:t>Padome</w:t>
      </w:r>
      <w:r w:rsidR="00131271">
        <w:rPr>
          <w:rStyle w:val="BodyTextChar"/>
          <w:sz w:val="24"/>
          <w:szCs w:val="24"/>
        </w:rPr>
        <w:t xml:space="preserve"> savas </w:t>
      </w:r>
      <w:r w:rsidRPr="00567072">
        <w:rPr>
          <w:rStyle w:val="BodyTextChar"/>
          <w:sz w:val="24"/>
          <w:szCs w:val="24"/>
        </w:rPr>
        <w:t>kompetenc</w:t>
      </w:r>
      <w:r w:rsidR="00131271">
        <w:rPr>
          <w:rStyle w:val="BodyTextChar"/>
          <w:sz w:val="24"/>
          <w:szCs w:val="24"/>
        </w:rPr>
        <w:t>es ietvaros</w:t>
      </w:r>
      <w:r w:rsidRPr="00567072">
        <w:rPr>
          <w:rStyle w:val="BodyTextChar"/>
          <w:sz w:val="24"/>
          <w:szCs w:val="24"/>
        </w:rPr>
        <w:t>:</w:t>
      </w:r>
    </w:p>
    <w:p w14:paraId="09309413" w14:textId="77777777" w:rsidR="00CF3C0F" w:rsidRPr="00567072" w:rsidRDefault="007F5204" w:rsidP="002128FD">
      <w:pPr>
        <w:pStyle w:val="BodyText"/>
        <w:numPr>
          <w:ilvl w:val="2"/>
          <w:numId w:val="1"/>
        </w:numPr>
        <w:tabs>
          <w:tab w:val="left" w:pos="1276"/>
        </w:tabs>
        <w:ind w:left="1276" w:hanging="709"/>
        <w:jc w:val="both"/>
        <w:rPr>
          <w:sz w:val="24"/>
          <w:szCs w:val="24"/>
        </w:rPr>
      </w:pPr>
      <w:r w:rsidRPr="00567072">
        <w:rPr>
          <w:rStyle w:val="BodyTextChar"/>
          <w:sz w:val="24"/>
          <w:szCs w:val="24"/>
        </w:rPr>
        <w:t>kārto izsniegto apraides atļauju un retranslācijas atļauju reģistru;</w:t>
      </w:r>
    </w:p>
    <w:p w14:paraId="27AD4C8F" w14:textId="77777777" w:rsidR="00CF3C0F" w:rsidRPr="00567072" w:rsidRDefault="007F5204" w:rsidP="002128FD">
      <w:pPr>
        <w:pStyle w:val="BodyText"/>
        <w:numPr>
          <w:ilvl w:val="2"/>
          <w:numId w:val="1"/>
        </w:numPr>
        <w:tabs>
          <w:tab w:val="left" w:pos="1276"/>
        </w:tabs>
        <w:ind w:left="1276" w:hanging="709"/>
        <w:jc w:val="both"/>
        <w:rPr>
          <w:sz w:val="24"/>
          <w:szCs w:val="24"/>
        </w:rPr>
      </w:pPr>
      <w:r w:rsidRPr="00567072">
        <w:rPr>
          <w:rStyle w:val="BodyTextChar"/>
          <w:sz w:val="24"/>
          <w:szCs w:val="24"/>
        </w:rPr>
        <w:t xml:space="preserve">vāc, apkopo un analizē informāciju par elektronisko plašsaziņas līdzekļu darbību </w:t>
      </w:r>
      <w:r w:rsidRPr="00567072">
        <w:rPr>
          <w:rStyle w:val="BodyTextChar"/>
          <w:sz w:val="24"/>
          <w:szCs w:val="24"/>
        </w:rPr>
        <w:lastRenderedPageBreak/>
        <w:t>un attīstību;</w:t>
      </w:r>
    </w:p>
    <w:p w14:paraId="3E5ED182" w14:textId="77777777" w:rsidR="00CF3C0F" w:rsidRPr="00567072" w:rsidRDefault="007F5204" w:rsidP="002128FD">
      <w:pPr>
        <w:pStyle w:val="BodyText"/>
        <w:numPr>
          <w:ilvl w:val="2"/>
          <w:numId w:val="1"/>
        </w:numPr>
        <w:tabs>
          <w:tab w:val="left" w:pos="1276"/>
        </w:tabs>
        <w:ind w:left="1276" w:hanging="709"/>
        <w:jc w:val="both"/>
        <w:rPr>
          <w:sz w:val="24"/>
          <w:szCs w:val="24"/>
        </w:rPr>
      </w:pPr>
      <w:r w:rsidRPr="00567072">
        <w:rPr>
          <w:rStyle w:val="BodyTextChar"/>
          <w:sz w:val="24"/>
          <w:szCs w:val="24"/>
        </w:rPr>
        <w:t>sadarbojas ar citu valstu institūcijām, kas risina elektronisko plašsaziņas līdzekļu darbības un attīstības jautājumus, un ar Eiropas Komisiju;</w:t>
      </w:r>
    </w:p>
    <w:p w14:paraId="56982D9C" w14:textId="77777777" w:rsidR="00CF3C0F" w:rsidRPr="00567072" w:rsidRDefault="007F5204" w:rsidP="002128FD">
      <w:pPr>
        <w:pStyle w:val="BodyText"/>
        <w:numPr>
          <w:ilvl w:val="2"/>
          <w:numId w:val="1"/>
        </w:numPr>
        <w:tabs>
          <w:tab w:val="left" w:pos="1276"/>
        </w:tabs>
        <w:ind w:left="1276" w:hanging="709"/>
        <w:jc w:val="both"/>
        <w:rPr>
          <w:sz w:val="24"/>
          <w:szCs w:val="24"/>
        </w:rPr>
      </w:pPr>
      <w:r w:rsidRPr="00567072">
        <w:rPr>
          <w:rStyle w:val="BodyTextChar"/>
          <w:sz w:val="24"/>
          <w:szCs w:val="24"/>
        </w:rPr>
        <w:t>pasūta elektronisko plašsaziņas līdzekļu jomas funkciju nodrošināšanai nepieciešamos socioloģiskos un citus pētījumus par nozares darbību un attīstību;</w:t>
      </w:r>
    </w:p>
    <w:p w14:paraId="271A9B28" w14:textId="77777777" w:rsidR="00CF3C0F" w:rsidRPr="00567072" w:rsidRDefault="007F5204" w:rsidP="002128FD">
      <w:pPr>
        <w:pStyle w:val="BodyText"/>
        <w:numPr>
          <w:ilvl w:val="2"/>
          <w:numId w:val="1"/>
        </w:numPr>
        <w:tabs>
          <w:tab w:val="left" w:pos="1276"/>
        </w:tabs>
        <w:ind w:left="1276" w:hanging="709"/>
        <w:jc w:val="both"/>
        <w:rPr>
          <w:sz w:val="24"/>
          <w:szCs w:val="24"/>
        </w:rPr>
      </w:pPr>
      <w:r w:rsidRPr="00567072">
        <w:rPr>
          <w:rStyle w:val="BodyTextChar"/>
          <w:sz w:val="24"/>
          <w:szCs w:val="24"/>
        </w:rPr>
        <w:t>uzklausa, analizē un apkopo skatītāju un klausītāju ierosinājumus, sūdzības un citu informāciju par elektronisko plašsaziņas līdzekļu darbību;</w:t>
      </w:r>
    </w:p>
    <w:p w14:paraId="42BF0D12" w14:textId="77777777" w:rsidR="00CF3C0F" w:rsidRPr="00567072" w:rsidRDefault="007F5204" w:rsidP="002128FD">
      <w:pPr>
        <w:pStyle w:val="BodyText"/>
        <w:numPr>
          <w:ilvl w:val="2"/>
          <w:numId w:val="1"/>
        </w:numPr>
        <w:tabs>
          <w:tab w:val="left" w:pos="1276"/>
        </w:tabs>
        <w:ind w:left="1276" w:hanging="709"/>
        <w:jc w:val="both"/>
        <w:rPr>
          <w:sz w:val="24"/>
          <w:szCs w:val="24"/>
        </w:rPr>
      </w:pPr>
      <w:r w:rsidRPr="00567072">
        <w:rPr>
          <w:rStyle w:val="BodyTextChar"/>
          <w:sz w:val="24"/>
          <w:szCs w:val="24"/>
        </w:rPr>
        <w:t>veic elektronisko plašsaziņas līdzekļu programmu ierakstus vai pieprasa tos no elektroniskajiem plašsaziņas līdzekļiem;</w:t>
      </w:r>
    </w:p>
    <w:p w14:paraId="36654694" w14:textId="77777777" w:rsidR="00CF3C0F" w:rsidRPr="00567072" w:rsidRDefault="007F5204" w:rsidP="002128FD">
      <w:pPr>
        <w:pStyle w:val="BodyText"/>
        <w:numPr>
          <w:ilvl w:val="2"/>
          <w:numId w:val="1"/>
        </w:numPr>
        <w:tabs>
          <w:tab w:val="left" w:pos="1276"/>
        </w:tabs>
        <w:ind w:left="1276" w:hanging="709"/>
        <w:jc w:val="both"/>
        <w:rPr>
          <w:sz w:val="24"/>
          <w:szCs w:val="24"/>
        </w:rPr>
      </w:pPr>
      <w:r w:rsidRPr="00567072">
        <w:rPr>
          <w:rStyle w:val="BodyTextChar"/>
          <w:sz w:val="24"/>
          <w:szCs w:val="24"/>
        </w:rPr>
        <w:t>pieprasa no elektroniskajiem plašsaziņas līdzekļiem dokumentus, kas apliecina, ka tie ievēro EPLL prasības;</w:t>
      </w:r>
    </w:p>
    <w:p w14:paraId="665169D7" w14:textId="77777777" w:rsidR="00CF3C0F" w:rsidRPr="00567072" w:rsidRDefault="007F5204" w:rsidP="002128FD">
      <w:pPr>
        <w:pStyle w:val="BodyText"/>
        <w:numPr>
          <w:ilvl w:val="2"/>
          <w:numId w:val="1"/>
        </w:numPr>
        <w:tabs>
          <w:tab w:val="left" w:pos="1276"/>
        </w:tabs>
        <w:ind w:left="1276" w:hanging="709"/>
        <w:jc w:val="both"/>
        <w:rPr>
          <w:sz w:val="24"/>
          <w:szCs w:val="24"/>
        </w:rPr>
      </w:pPr>
      <w:r w:rsidRPr="00567072">
        <w:rPr>
          <w:rStyle w:val="BodyTextChar"/>
          <w:sz w:val="24"/>
          <w:szCs w:val="24"/>
        </w:rPr>
        <w:t>veic elektronisko plašsaziņas līdzekļu darbības monitoringu un apkopo tā rezultātus;</w:t>
      </w:r>
    </w:p>
    <w:p w14:paraId="5C564148" w14:textId="77777777" w:rsidR="00CF3C0F" w:rsidRPr="00567072" w:rsidRDefault="007F5204" w:rsidP="002128FD">
      <w:pPr>
        <w:pStyle w:val="BodyText"/>
        <w:numPr>
          <w:ilvl w:val="2"/>
          <w:numId w:val="1"/>
        </w:numPr>
        <w:tabs>
          <w:tab w:val="left" w:pos="1276"/>
          <w:tab w:val="left" w:pos="1308"/>
        </w:tabs>
        <w:ind w:left="1276" w:hanging="709"/>
        <w:jc w:val="both"/>
        <w:rPr>
          <w:sz w:val="24"/>
          <w:szCs w:val="24"/>
        </w:rPr>
      </w:pPr>
      <w:r w:rsidRPr="00567072">
        <w:rPr>
          <w:rStyle w:val="BodyTextChar"/>
          <w:sz w:val="24"/>
          <w:szCs w:val="24"/>
        </w:rPr>
        <w:t xml:space="preserve">atbilstoši kompetencei īsteno uzraudzības iestādes funkcijas </w:t>
      </w:r>
      <w:r w:rsidRPr="0025394B">
        <w:rPr>
          <w:rStyle w:val="BodyTextChar"/>
          <w:sz w:val="24"/>
          <w:szCs w:val="24"/>
        </w:rPr>
        <w:t xml:space="preserve">Informācijas sabiedrības pakalpojumu likuma </w:t>
      </w:r>
      <w:r w:rsidRPr="00567072">
        <w:rPr>
          <w:rStyle w:val="BodyTextChar"/>
          <w:sz w:val="24"/>
          <w:szCs w:val="24"/>
        </w:rPr>
        <w:t>izpratnē;</w:t>
      </w:r>
    </w:p>
    <w:p w14:paraId="741361BC" w14:textId="77777777" w:rsidR="00CF3C0F" w:rsidRPr="00567072" w:rsidRDefault="007F5204" w:rsidP="002128FD">
      <w:pPr>
        <w:pStyle w:val="BodyText"/>
        <w:numPr>
          <w:ilvl w:val="2"/>
          <w:numId w:val="1"/>
        </w:numPr>
        <w:tabs>
          <w:tab w:val="left" w:pos="1276"/>
        </w:tabs>
        <w:ind w:left="1276" w:hanging="709"/>
        <w:jc w:val="both"/>
        <w:rPr>
          <w:sz w:val="24"/>
          <w:szCs w:val="24"/>
        </w:rPr>
      </w:pPr>
      <w:r w:rsidRPr="00567072">
        <w:rPr>
          <w:rStyle w:val="BodyTextChar"/>
          <w:sz w:val="24"/>
          <w:szCs w:val="24"/>
        </w:rPr>
        <w:t>nodrošina piešķirto valsts budžeta līdzekļu efektīvu un lietderīgu izlietošanu sabiedrības interesēs;</w:t>
      </w:r>
    </w:p>
    <w:p w14:paraId="26996FCC" w14:textId="77777777" w:rsidR="00CF3C0F" w:rsidRPr="00567072" w:rsidRDefault="007F5204" w:rsidP="002128FD">
      <w:pPr>
        <w:pStyle w:val="BodyText"/>
        <w:numPr>
          <w:ilvl w:val="2"/>
          <w:numId w:val="1"/>
        </w:numPr>
        <w:tabs>
          <w:tab w:val="left" w:pos="1276"/>
          <w:tab w:val="left" w:pos="1305"/>
        </w:tabs>
        <w:ind w:left="1276" w:hanging="709"/>
        <w:jc w:val="both"/>
        <w:rPr>
          <w:sz w:val="24"/>
          <w:szCs w:val="24"/>
        </w:rPr>
      </w:pPr>
      <w:r w:rsidRPr="00567072">
        <w:rPr>
          <w:rStyle w:val="BodyTextChar"/>
          <w:sz w:val="24"/>
          <w:szCs w:val="24"/>
        </w:rPr>
        <w:t>veicina Latvijas jurisdikcijā esošo elektronisko plašsaziņas līdzekļu konkurētspēju Latvijas, Eiropas un pasaules tirgū;</w:t>
      </w:r>
    </w:p>
    <w:p w14:paraId="67629A62" w14:textId="48DF31DF" w:rsidR="00CF3C0F" w:rsidRDefault="007F5204" w:rsidP="002128FD">
      <w:pPr>
        <w:pStyle w:val="BodyText"/>
        <w:numPr>
          <w:ilvl w:val="2"/>
          <w:numId w:val="1"/>
        </w:numPr>
        <w:tabs>
          <w:tab w:val="left" w:pos="1276"/>
        </w:tabs>
        <w:ind w:left="1276" w:hanging="709"/>
        <w:jc w:val="both"/>
        <w:rPr>
          <w:rStyle w:val="BodyTextChar"/>
          <w:sz w:val="24"/>
          <w:szCs w:val="24"/>
        </w:rPr>
      </w:pPr>
      <w:r w:rsidRPr="00567072">
        <w:rPr>
          <w:rStyle w:val="BodyTextChar"/>
          <w:sz w:val="24"/>
          <w:szCs w:val="24"/>
        </w:rPr>
        <w:t>rada vienlīdzīgus darbības nosacījumus visiem Latvijas jurisdikcijā esošajiem plašsaziņas līdzekļiem;</w:t>
      </w:r>
    </w:p>
    <w:p w14:paraId="358926FB" w14:textId="50558C55" w:rsidR="00F81C63" w:rsidRPr="00567072" w:rsidRDefault="00F81C63" w:rsidP="002128FD">
      <w:pPr>
        <w:pStyle w:val="BodyText"/>
        <w:numPr>
          <w:ilvl w:val="2"/>
          <w:numId w:val="1"/>
        </w:numPr>
        <w:tabs>
          <w:tab w:val="left" w:pos="1276"/>
        </w:tabs>
        <w:ind w:left="1276" w:hanging="709"/>
        <w:jc w:val="both"/>
        <w:rPr>
          <w:sz w:val="24"/>
          <w:szCs w:val="24"/>
        </w:rPr>
      </w:pPr>
      <w:r>
        <w:rPr>
          <w:rStyle w:val="BodyTextChar"/>
          <w:sz w:val="24"/>
          <w:szCs w:val="24"/>
        </w:rPr>
        <w:t>veicina medijpratību;</w:t>
      </w:r>
    </w:p>
    <w:p w14:paraId="69690605" w14:textId="77777777" w:rsidR="00CF3C0F" w:rsidRPr="00567072" w:rsidRDefault="007F5204" w:rsidP="002128FD">
      <w:pPr>
        <w:pStyle w:val="BodyText"/>
        <w:numPr>
          <w:ilvl w:val="2"/>
          <w:numId w:val="1"/>
        </w:numPr>
        <w:tabs>
          <w:tab w:val="left" w:pos="1276"/>
        </w:tabs>
        <w:ind w:left="1276" w:hanging="709"/>
        <w:jc w:val="both"/>
        <w:rPr>
          <w:sz w:val="24"/>
          <w:szCs w:val="24"/>
        </w:rPr>
      </w:pPr>
      <w:r w:rsidRPr="00567072">
        <w:rPr>
          <w:rStyle w:val="BodyTextChar"/>
          <w:sz w:val="24"/>
          <w:szCs w:val="24"/>
        </w:rPr>
        <w:t>veicina Latvijas nacionālajām interesēm atbilstošu elektronisko plašsaziņas līdzekļu programmu politiku;</w:t>
      </w:r>
    </w:p>
    <w:p w14:paraId="7D18EB65" w14:textId="3AF2D5BA" w:rsidR="00CF3C0F" w:rsidRPr="00567072" w:rsidRDefault="007F5204" w:rsidP="002128FD">
      <w:pPr>
        <w:pStyle w:val="BodyText"/>
        <w:numPr>
          <w:ilvl w:val="2"/>
          <w:numId w:val="1"/>
        </w:numPr>
        <w:tabs>
          <w:tab w:val="left" w:pos="1276"/>
        </w:tabs>
        <w:ind w:left="1276" w:hanging="709"/>
        <w:jc w:val="both"/>
        <w:rPr>
          <w:sz w:val="24"/>
          <w:szCs w:val="24"/>
        </w:rPr>
      </w:pPr>
      <w:r w:rsidRPr="00567072">
        <w:rPr>
          <w:rStyle w:val="BodyTextChar"/>
          <w:sz w:val="24"/>
          <w:szCs w:val="24"/>
        </w:rPr>
        <w:t xml:space="preserve">nodrošina sabiedrības, plašsaziņas līdzekļu profesionālo un izglītības institūciju pārstāvju līdzdalību </w:t>
      </w:r>
      <w:r w:rsidR="00F81C63">
        <w:rPr>
          <w:rStyle w:val="BodyTextChar"/>
          <w:sz w:val="24"/>
          <w:szCs w:val="24"/>
        </w:rPr>
        <w:t>Elektronisko plašsaziņas līdzekļu nozares attīstības nacionālās stratēģijas izstrādē;</w:t>
      </w:r>
    </w:p>
    <w:p w14:paraId="400B6C04" w14:textId="77777777" w:rsidR="00CF3C0F" w:rsidRPr="00567072" w:rsidRDefault="007F5204" w:rsidP="002128FD">
      <w:pPr>
        <w:pStyle w:val="BodyText"/>
        <w:numPr>
          <w:ilvl w:val="2"/>
          <w:numId w:val="1"/>
        </w:numPr>
        <w:tabs>
          <w:tab w:val="left" w:pos="1276"/>
        </w:tabs>
        <w:ind w:left="1276" w:hanging="709"/>
        <w:jc w:val="both"/>
        <w:rPr>
          <w:sz w:val="24"/>
          <w:szCs w:val="24"/>
        </w:rPr>
      </w:pPr>
      <w:r w:rsidRPr="00567072">
        <w:rPr>
          <w:rStyle w:val="BodyTextChar"/>
          <w:sz w:val="24"/>
          <w:szCs w:val="24"/>
        </w:rPr>
        <w:t>apstiprina galalietotājiem bez maksas zemes apraidē ciparformātā izplatāmo televīzijas programmu sarakstu. Kritērijus elektronisko plašsaziņas līdzekļu programmu iekļaušanai galalietotājiem bez maksas zemes apraidē ciparformātā izplatāmo televīzijas programmu sarakstā nosaka Elektronisko plašsaziņas līdzekļu nozares attīstības nacionālajā stratēģijā;</w:t>
      </w:r>
    </w:p>
    <w:p w14:paraId="620F701E" w14:textId="0DC2D93B" w:rsidR="00F81C63" w:rsidRDefault="00F81C63" w:rsidP="002128FD">
      <w:pPr>
        <w:pStyle w:val="BodyText"/>
        <w:numPr>
          <w:ilvl w:val="2"/>
          <w:numId w:val="1"/>
        </w:numPr>
        <w:tabs>
          <w:tab w:val="left" w:pos="1276"/>
        </w:tabs>
        <w:ind w:left="1276" w:hanging="709"/>
        <w:jc w:val="both"/>
        <w:rPr>
          <w:rStyle w:val="BodyTextChar"/>
          <w:sz w:val="24"/>
          <w:szCs w:val="24"/>
        </w:rPr>
      </w:pPr>
      <w:r>
        <w:rPr>
          <w:rStyle w:val="BodyTextChar"/>
          <w:sz w:val="24"/>
          <w:szCs w:val="24"/>
        </w:rPr>
        <w:t>organizē galalietotājiem bez maksas zemes apraidē ciparformātā izplatāmo televīzijas programmu sarakstā iekļauto programmu izplatīšanu ar zemes raidītājiem;</w:t>
      </w:r>
    </w:p>
    <w:p w14:paraId="113BA5B4" w14:textId="1FBDFD6E" w:rsidR="00CF3C0F" w:rsidRDefault="007F5204" w:rsidP="002128FD">
      <w:pPr>
        <w:pStyle w:val="BodyText"/>
        <w:numPr>
          <w:ilvl w:val="2"/>
          <w:numId w:val="1"/>
        </w:numPr>
        <w:tabs>
          <w:tab w:val="left" w:pos="1276"/>
        </w:tabs>
        <w:ind w:left="1276" w:hanging="709"/>
        <w:jc w:val="both"/>
        <w:rPr>
          <w:rStyle w:val="BodyTextChar"/>
          <w:sz w:val="24"/>
          <w:szCs w:val="24"/>
        </w:rPr>
      </w:pPr>
      <w:r w:rsidRPr="00567072">
        <w:rPr>
          <w:rStyle w:val="BodyTextChar"/>
          <w:sz w:val="24"/>
          <w:szCs w:val="24"/>
        </w:rPr>
        <w:t>veic citas normatīvajos aktos noteiktās darbības.</w:t>
      </w:r>
    </w:p>
    <w:p w14:paraId="56B02A0B" w14:textId="77777777" w:rsidR="00131271" w:rsidRPr="00567072" w:rsidRDefault="00131271" w:rsidP="00131271">
      <w:pPr>
        <w:pStyle w:val="BodyText"/>
        <w:tabs>
          <w:tab w:val="left" w:pos="1276"/>
        </w:tabs>
        <w:ind w:left="1276" w:firstLine="0"/>
        <w:jc w:val="both"/>
        <w:rPr>
          <w:sz w:val="24"/>
          <w:szCs w:val="24"/>
        </w:rPr>
      </w:pPr>
    </w:p>
    <w:p w14:paraId="1652E765" w14:textId="0D1E3E27" w:rsidR="00CF3C0F" w:rsidRPr="00567072" w:rsidRDefault="007F5204" w:rsidP="00A103FE">
      <w:pPr>
        <w:pStyle w:val="Bodytext20"/>
        <w:numPr>
          <w:ilvl w:val="0"/>
          <w:numId w:val="1"/>
        </w:numPr>
        <w:tabs>
          <w:tab w:val="left" w:pos="426"/>
        </w:tabs>
        <w:spacing w:after="300"/>
        <w:ind w:left="0" w:firstLine="75"/>
        <w:jc w:val="center"/>
      </w:pPr>
      <w:r w:rsidRPr="00567072">
        <w:rPr>
          <w:rStyle w:val="Bodytext2"/>
          <w:b/>
          <w:bCs/>
        </w:rPr>
        <w:t>Ar Padomes darbības vei</w:t>
      </w:r>
      <w:r w:rsidR="00A93022">
        <w:rPr>
          <w:rStyle w:val="Bodytext2"/>
          <w:b/>
          <w:bCs/>
        </w:rPr>
        <w:t>d</w:t>
      </w:r>
      <w:r w:rsidRPr="00567072">
        <w:rPr>
          <w:rStyle w:val="Bodytext2"/>
          <w:b/>
          <w:bCs/>
        </w:rPr>
        <w:t>u, uzbūvi un kompetenci saistītie korupcijas un negodprātīgas rīcības riski</w:t>
      </w:r>
    </w:p>
    <w:p w14:paraId="0583D900" w14:textId="77777777" w:rsidR="00CF3C0F" w:rsidRPr="00567072" w:rsidRDefault="007F5204" w:rsidP="00131271">
      <w:pPr>
        <w:pStyle w:val="BodyText"/>
        <w:numPr>
          <w:ilvl w:val="1"/>
          <w:numId w:val="1"/>
        </w:numPr>
        <w:tabs>
          <w:tab w:val="left" w:pos="709"/>
        </w:tabs>
        <w:spacing w:line="283" w:lineRule="auto"/>
        <w:ind w:left="567" w:hanging="567"/>
        <w:jc w:val="both"/>
        <w:rPr>
          <w:sz w:val="24"/>
          <w:szCs w:val="24"/>
        </w:rPr>
      </w:pPr>
      <w:r w:rsidRPr="00567072">
        <w:rPr>
          <w:rStyle w:val="BodyTextChar"/>
          <w:sz w:val="24"/>
          <w:szCs w:val="24"/>
        </w:rPr>
        <w:t>Valsts amatpersonu funkciju izpilde interešu konflikta situācijā, pārkāpjot ar likumu noteiktos ierobežojumus.</w:t>
      </w:r>
    </w:p>
    <w:p w14:paraId="2E28772B" w14:textId="7B1D40A4" w:rsidR="00CF3C0F" w:rsidRPr="00567072" w:rsidRDefault="007F5204" w:rsidP="00131271">
      <w:pPr>
        <w:pStyle w:val="BodyText"/>
        <w:numPr>
          <w:ilvl w:val="1"/>
          <w:numId w:val="1"/>
        </w:numPr>
        <w:tabs>
          <w:tab w:val="left" w:pos="709"/>
        </w:tabs>
        <w:spacing w:line="283" w:lineRule="auto"/>
        <w:ind w:left="567" w:hanging="567"/>
        <w:jc w:val="both"/>
        <w:rPr>
          <w:sz w:val="24"/>
          <w:szCs w:val="24"/>
        </w:rPr>
      </w:pPr>
      <w:r w:rsidRPr="00567072">
        <w:rPr>
          <w:rStyle w:val="BodyTextChar"/>
          <w:sz w:val="24"/>
          <w:szCs w:val="24"/>
        </w:rPr>
        <w:t xml:space="preserve">Prettiesiska rīcība ar mērķi gūt labumu sev vai citai personai (t.sk. vienošanās, kukuļņemšana, kukuļa pieprasīšana, neatļauta dāvanu pieņemšana, starpniecība </w:t>
      </w:r>
      <w:r w:rsidRPr="00567072">
        <w:rPr>
          <w:rStyle w:val="BodyTextChar"/>
          <w:sz w:val="24"/>
          <w:szCs w:val="24"/>
        </w:rPr>
        <w:lastRenderedPageBreak/>
        <w:t>kukuļošanā).</w:t>
      </w:r>
    </w:p>
    <w:p w14:paraId="61707FDD" w14:textId="77777777" w:rsidR="00CF3C0F" w:rsidRPr="00567072" w:rsidRDefault="007F5204" w:rsidP="00131271">
      <w:pPr>
        <w:pStyle w:val="BodyText"/>
        <w:numPr>
          <w:ilvl w:val="1"/>
          <w:numId w:val="1"/>
        </w:numPr>
        <w:tabs>
          <w:tab w:val="left" w:pos="709"/>
        </w:tabs>
        <w:spacing w:line="283" w:lineRule="auto"/>
        <w:ind w:left="567" w:hanging="567"/>
        <w:jc w:val="both"/>
        <w:rPr>
          <w:sz w:val="24"/>
          <w:szCs w:val="24"/>
        </w:rPr>
      </w:pPr>
      <w:r w:rsidRPr="00567072">
        <w:rPr>
          <w:rStyle w:val="BodyTextChar"/>
          <w:sz w:val="24"/>
          <w:szCs w:val="24"/>
        </w:rPr>
        <w:t>Informācijas (t.sk., ierobežotas pieejamības informācijas un valsts noslēpuma) neatļauta izplatīšana un izmantošana ar mērķi gūt personīgo labumu vai labumu citai personai.</w:t>
      </w:r>
    </w:p>
    <w:p w14:paraId="33E639EC" w14:textId="77777777" w:rsidR="00CF3C0F" w:rsidRPr="00567072" w:rsidRDefault="007F5204" w:rsidP="00131271">
      <w:pPr>
        <w:pStyle w:val="BodyText"/>
        <w:numPr>
          <w:ilvl w:val="1"/>
          <w:numId w:val="1"/>
        </w:numPr>
        <w:tabs>
          <w:tab w:val="left" w:pos="709"/>
        </w:tabs>
        <w:spacing w:line="283" w:lineRule="auto"/>
        <w:ind w:left="567" w:hanging="567"/>
        <w:jc w:val="both"/>
        <w:rPr>
          <w:sz w:val="24"/>
          <w:szCs w:val="24"/>
        </w:rPr>
      </w:pPr>
      <w:r w:rsidRPr="00567072">
        <w:rPr>
          <w:rStyle w:val="BodyTextChar"/>
          <w:sz w:val="24"/>
          <w:szCs w:val="24"/>
        </w:rPr>
        <w:t>Apzināta informācijas slēpšana savās vai citas personas interesēs.</w:t>
      </w:r>
    </w:p>
    <w:p w14:paraId="2248D725" w14:textId="77777777" w:rsidR="00CF3C0F" w:rsidRPr="00567072" w:rsidRDefault="007F5204" w:rsidP="00131271">
      <w:pPr>
        <w:pStyle w:val="BodyText"/>
        <w:numPr>
          <w:ilvl w:val="1"/>
          <w:numId w:val="1"/>
        </w:numPr>
        <w:tabs>
          <w:tab w:val="left" w:pos="709"/>
        </w:tabs>
        <w:spacing w:line="283" w:lineRule="auto"/>
        <w:ind w:left="567" w:hanging="567"/>
        <w:jc w:val="both"/>
        <w:rPr>
          <w:sz w:val="24"/>
          <w:szCs w:val="24"/>
        </w:rPr>
      </w:pPr>
      <w:r w:rsidRPr="00567072">
        <w:rPr>
          <w:rStyle w:val="BodyTextChar"/>
          <w:sz w:val="24"/>
          <w:szCs w:val="24"/>
        </w:rPr>
        <w:t>Neatļauta rīcība ar institūcijas vai tai lietošanā, glabāšanā nodotu mantu vai finanšu līdzekļiem.</w:t>
      </w:r>
    </w:p>
    <w:p w14:paraId="5F727A0F" w14:textId="77777777" w:rsidR="00CF3C0F" w:rsidRPr="00567072" w:rsidRDefault="007F5204" w:rsidP="00131271">
      <w:pPr>
        <w:pStyle w:val="BodyText"/>
        <w:numPr>
          <w:ilvl w:val="1"/>
          <w:numId w:val="1"/>
        </w:numPr>
        <w:tabs>
          <w:tab w:val="left" w:pos="709"/>
        </w:tabs>
        <w:spacing w:line="283" w:lineRule="auto"/>
        <w:ind w:left="567" w:hanging="567"/>
        <w:jc w:val="both"/>
        <w:rPr>
          <w:sz w:val="24"/>
          <w:szCs w:val="24"/>
        </w:rPr>
      </w:pPr>
      <w:r w:rsidRPr="00567072">
        <w:rPr>
          <w:rStyle w:val="BodyTextChar"/>
          <w:sz w:val="24"/>
          <w:szCs w:val="24"/>
        </w:rPr>
        <w:t>Nevienlīdzīga attieksme lēmumu pieņemšanā attiecībā uz darbiniekiem vai pretendentiem uz amata vietu (darbinieku pieņemšana, pārcelšana, pieņemšana darbā bez atbilstošas kvalifikācijas).</w:t>
      </w:r>
    </w:p>
    <w:p w14:paraId="45C18690" w14:textId="77777777" w:rsidR="00CF3C0F" w:rsidRPr="00567072" w:rsidRDefault="007F5204" w:rsidP="00131271">
      <w:pPr>
        <w:pStyle w:val="BodyText"/>
        <w:numPr>
          <w:ilvl w:val="1"/>
          <w:numId w:val="1"/>
        </w:numPr>
        <w:tabs>
          <w:tab w:val="left" w:pos="709"/>
        </w:tabs>
        <w:spacing w:line="283" w:lineRule="auto"/>
        <w:ind w:left="567" w:hanging="567"/>
        <w:jc w:val="both"/>
        <w:rPr>
          <w:sz w:val="24"/>
          <w:szCs w:val="24"/>
        </w:rPr>
      </w:pPr>
      <w:r w:rsidRPr="00567072">
        <w:rPr>
          <w:rStyle w:val="BodyTextChar"/>
          <w:sz w:val="24"/>
          <w:szCs w:val="24"/>
        </w:rPr>
        <w:t>Neefektīva personāla apmācība, nevienlīdzīga attieksme pret darbiniekiem mācību plānošanā un nodrošināšanā.</w:t>
      </w:r>
    </w:p>
    <w:p w14:paraId="2C54187B" w14:textId="7A53E763" w:rsidR="00CF3C0F" w:rsidRPr="00567072" w:rsidRDefault="007F5204" w:rsidP="00131271">
      <w:pPr>
        <w:pStyle w:val="BodyText"/>
        <w:numPr>
          <w:ilvl w:val="1"/>
          <w:numId w:val="1"/>
        </w:numPr>
        <w:tabs>
          <w:tab w:val="left" w:pos="709"/>
        </w:tabs>
        <w:spacing w:line="283" w:lineRule="auto"/>
        <w:ind w:left="567" w:hanging="567"/>
        <w:jc w:val="both"/>
        <w:rPr>
          <w:sz w:val="24"/>
          <w:szCs w:val="24"/>
        </w:rPr>
      </w:pPr>
      <w:r w:rsidRPr="00567072">
        <w:rPr>
          <w:rStyle w:val="BodyTextChar"/>
          <w:sz w:val="24"/>
          <w:szCs w:val="24"/>
        </w:rPr>
        <w:t>Dienesta stāvokļa izmantošana savtīgo</w:t>
      </w:r>
      <w:r w:rsidR="002618C9">
        <w:rPr>
          <w:rStyle w:val="BodyTextChar"/>
          <w:sz w:val="24"/>
          <w:szCs w:val="24"/>
        </w:rPr>
        <w:t>s</w:t>
      </w:r>
      <w:r w:rsidRPr="00567072">
        <w:rPr>
          <w:rStyle w:val="BodyTextChar"/>
          <w:sz w:val="24"/>
          <w:szCs w:val="24"/>
        </w:rPr>
        <w:t xml:space="preserve"> nolūkos.</w:t>
      </w:r>
    </w:p>
    <w:p w14:paraId="313BFC2E" w14:textId="7FE0C655" w:rsidR="00CF3C0F" w:rsidRPr="00567072" w:rsidRDefault="007F5204" w:rsidP="00131271">
      <w:pPr>
        <w:pStyle w:val="BodyText"/>
        <w:numPr>
          <w:ilvl w:val="1"/>
          <w:numId w:val="1"/>
        </w:numPr>
        <w:tabs>
          <w:tab w:val="left" w:pos="709"/>
        </w:tabs>
        <w:spacing w:line="283" w:lineRule="auto"/>
        <w:ind w:left="567" w:hanging="567"/>
        <w:jc w:val="both"/>
        <w:rPr>
          <w:sz w:val="24"/>
          <w:szCs w:val="24"/>
        </w:rPr>
      </w:pPr>
      <w:r w:rsidRPr="00567072">
        <w:rPr>
          <w:rStyle w:val="BodyTextChar"/>
          <w:sz w:val="24"/>
          <w:szCs w:val="24"/>
        </w:rPr>
        <w:t>Amatpersonai vai darbiniekam noteikto pienākumu apzināta neveikšana vai nolaidīga veikšana savās vai citas personas interesēs</w:t>
      </w:r>
      <w:r w:rsidR="002618C9">
        <w:rPr>
          <w:rStyle w:val="BodyTextChar"/>
          <w:sz w:val="24"/>
          <w:szCs w:val="24"/>
        </w:rPr>
        <w:t>.</w:t>
      </w:r>
    </w:p>
    <w:p w14:paraId="65462DDA" w14:textId="77777777" w:rsidR="00CF3C0F" w:rsidRPr="00567072" w:rsidRDefault="007F5204" w:rsidP="00131271">
      <w:pPr>
        <w:pStyle w:val="BodyText"/>
        <w:numPr>
          <w:ilvl w:val="1"/>
          <w:numId w:val="1"/>
        </w:numPr>
        <w:tabs>
          <w:tab w:val="left" w:pos="629"/>
          <w:tab w:val="left" w:pos="709"/>
        </w:tabs>
        <w:spacing w:after="540" w:line="283" w:lineRule="auto"/>
        <w:ind w:left="567" w:hanging="567"/>
        <w:jc w:val="both"/>
        <w:rPr>
          <w:sz w:val="24"/>
          <w:szCs w:val="24"/>
        </w:rPr>
      </w:pPr>
      <w:r w:rsidRPr="00567072">
        <w:rPr>
          <w:rStyle w:val="BodyTextChar"/>
          <w:sz w:val="24"/>
          <w:szCs w:val="24"/>
        </w:rPr>
        <w:t>Amatpersonu, darbinieku ietekmēšana nolūkā panākt sev vai citai personai labvēlīga lēmuma pieņemšanu.</w:t>
      </w:r>
    </w:p>
    <w:p w14:paraId="501FAE5B" w14:textId="0DDAAF07" w:rsidR="007D7C09" w:rsidRPr="008E4509" w:rsidRDefault="007F5204" w:rsidP="008E4509">
      <w:pPr>
        <w:pStyle w:val="BodyText"/>
        <w:spacing w:line="283" w:lineRule="auto"/>
        <w:ind w:firstLine="0"/>
        <w:rPr>
          <w:i/>
          <w:iCs/>
          <w:sz w:val="24"/>
          <w:szCs w:val="24"/>
        </w:rPr>
      </w:pPr>
      <w:r w:rsidRPr="004658AB">
        <w:rPr>
          <w:rStyle w:val="BodyTextChar"/>
          <w:i/>
          <w:iCs/>
          <w:sz w:val="24"/>
          <w:szCs w:val="24"/>
        </w:rPr>
        <w:t xml:space="preserve">Pielikumā: </w:t>
      </w:r>
      <w:r w:rsidR="00A14DE5" w:rsidRPr="004658AB">
        <w:rPr>
          <w:rStyle w:val="BodyTextChar"/>
          <w:i/>
          <w:iCs/>
          <w:sz w:val="24"/>
          <w:szCs w:val="24"/>
        </w:rPr>
        <w:t>Korupcijas riski un pasākumi to mazināšanai un novēršanai</w:t>
      </w:r>
      <w:r w:rsidRPr="004658AB">
        <w:rPr>
          <w:rStyle w:val="BodyTextChar"/>
          <w:i/>
          <w:iCs/>
          <w:sz w:val="24"/>
          <w:szCs w:val="24"/>
        </w:rPr>
        <w:t xml:space="preserve"> uz </w:t>
      </w:r>
      <w:r w:rsidR="00355409" w:rsidRPr="004658AB">
        <w:rPr>
          <w:rStyle w:val="BodyTextChar"/>
          <w:i/>
          <w:iCs/>
          <w:sz w:val="24"/>
          <w:szCs w:val="24"/>
        </w:rPr>
        <w:t>1 (vienas) lapas.</w:t>
      </w:r>
    </w:p>
    <w:sectPr w:rsidR="007D7C09" w:rsidRPr="008E4509" w:rsidSect="00A14DE5">
      <w:footerReference w:type="default" r:id="rId8"/>
      <w:pgSz w:w="11900" w:h="16840"/>
      <w:pgMar w:top="1134" w:right="1134" w:bottom="1134" w:left="1701" w:header="51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863D" w14:textId="77777777" w:rsidR="00C67A95" w:rsidRDefault="00C67A95">
      <w:r>
        <w:separator/>
      </w:r>
    </w:p>
  </w:endnote>
  <w:endnote w:type="continuationSeparator" w:id="0">
    <w:p w14:paraId="0787B32E" w14:textId="77777777" w:rsidR="00C67A95" w:rsidRDefault="00C6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D41F" w14:textId="77777777" w:rsidR="00CF3C0F" w:rsidRDefault="00CF3C0F">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F0256" w14:textId="77777777" w:rsidR="00C67A95" w:rsidRDefault="00C67A95"/>
  </w:footnote>
  <w:footnote w:type="continuationSeparator" w:id="0">
    <w:p w14:paraId="1810FF9C" w14:textId="77777777" w:rsidR="00C67A95" w:rsidRDefault="00C67A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843B1"/>
    <w:multiLevelType w:val="multilevel"/>
    <w:tmpl w:val="20EA38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DC12E9"/>
    <w:multiLevelType w:val="multilevel"/>
    <w:tmpl w:val="5D8EAF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97014C"/>
    <w:multiLevelType w:val="multilevel"/>
    <w:tmpl w:val="E2F2E5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CF4C73"/>
    <w:multiLevelType w:val="multilevel"/>
    <w:tmpl w:val="40B02D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C078EB"/>
    <w:multiLevelType w:val="multilevel"/>
    <w:tmpl w:val="21AAF2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CB614D"/>
    <w:multiLevelType w:val="multilevel"/>
    <w:tmpl w:val="320AF2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1502EB"/>
    <w:multiLevelType w:val="multilevel"/>
    <w:tmpl w:val="1BD415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CF3C0E"/>
    <w:multiLevelType w:val="multilevel"/>
    <w:tmpl w:val="263C1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4075D5"/>
    <w:multiLevelType w:val="multilevel"/>
    <w:tmpl w:val="70F4E47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B53A23"/>
    <w:multiLevelType w:val="multilevel"/>
    <w:tmpl w:val="2E1691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B2318D"/>
    <w:multiLevelType w:val="multilevel"/>
    <w:tmpl w:val="59EAD2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B802F1"/>
    <w:multiLevelType w:val="multilevel"/>
    <w:tmpl w:val="18F0F2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1D78D4"/>
    <w:multiLevelType w:val="multilevel"/>
    <w:tmpl w:val="3C24BF8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5C2546"/>
    <w:multiLevelType w:val="multilevel"/>
    <w:tmpl w:val="3C7E3C1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num>
  <w:num w:numId="4">
    <w:abstractNumId w:val="6"/>
  </w:num>
  <w:num w:numId="5">
    <w:abstractNumId w:val="5"/>
  </w:num>
  <w:num w:numId="6">
    <w:abstractNumId w:val="0"/>
  </w:num>
  <w:num w:numId="7">
    <w:abstractNumId w:val="4"/>
  </w:num>
  <w:num w:numId="8">
    <w:abstractNumId w:val="2"/>
  </w:num>
  <w:num w:numId="9">
    <w:abstractNumId w:val="1"/>
  </w:num>
  <w:num w:numId="10">
    <w:abstractNumId w:val="12"/>
  </w:num>
  <w:num w:numId="11">
    <w:abstractNumId w:val="11"/>
  </w:num>
  <w:num w:numId="12">
    <w:abstractNumId w:val="13"/>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C0F"/>
    <w:rsid w:val="00023A34"/>
    <w:rsid w:val="00064F39"/>
    <w:rsid w:val="00131271"/>
    <w:rsid w:val="0014114D"/>
    <w:rsid w:val="00191C3A"/>
    <w:rsid w:val="001B41B8"/>
    <w:rsid w:val="002128FD"/>
    <w:rsid w:val="00245B71"/>
    <w:rsid w:val="0025394B"/>
    <w:rsid w:val="002618C9"/>
    <w:rsid w:val="00261E95"/>
    <w:rsid w:val="002638E8"/>
    <w:rsid w:val="002709F4"/>
    <w:rsid w:val="00296150"/>
    <w:rsid w:val="002A5A1B"/>
    <w:rsid w:val="00310CD0"/>
    <w:rsid w:val="00326C65"/>
    <w:rsid w:val="00355409"/>
    <w:rsid w:val="00384C9B"/>
    <w:rsid w:val="00417124"/>
    <w:rsid w:val="004658AB"/>
    <w:rsid w:val="00567072"/>
    <w:rsid w:val="005B1E05"/>
    <w:rsid w:val="005C36A1"/>
    <w:rsid w:val="006463B5"/>
    <w:rsid w:val="006C4504"/>
    <w:rsid w:val="007D7C09"/>
    <w:rsid w:val="007F3750"/>
    <w:rsid w:val="007F5204"/>
    <w:rsid w:val="00857E7C"/>
    <w:rsid w:val="00866A93"/>
    <w:rsid w:val="008E4509"/>
    <w:rsid w:val="009131F9"/>
    <w:rsid w:val="00924350"/>
    <w:rsid w:val="00977F73"/>
    <w:rsid w:val="00A07483"/>
    <w:rsid w:val="00A103FE"/>
    <w:rsid w:val="00A14DE5"/>
    <w:rsid w:val="00A93022"/>
    <w:rsid w:val="00AB0D6F"/>
    <w:rsid w:val="00BB0409"/>
    <w:rsid w:val="00BB6171"/>
    <w:rsid w:val="00C67A95"/>
    <w:rsid w:val="00CF3C0F"/>
    <w:rsid w:val="00CF5CD7"/>
    <w:rsid w:val="00D20893"/>
    <w:rsid w:val="00D94F9C"/>
    <w:rsid w:val="00E245F9"/>
    <w:rsid w:val="00F81C63"/>
    <w:rsid w:val="00FA31E7"/>
    <w:rsid w:val="00FC74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025A5"/>
  <w15:docId w15:val="{DE731BFE-48F8-4B03-BD7F-D60C0D90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v-LV"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0"/>
      <w:szCs w:val="2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b w:val="0"/>
      <w:bCs w:val="0"/>
      <w:i/>
      <w:iCs/>
      <w:smallCaps w:val="0"/>
      <w:strike w:val="0"/>
      <w:sz w:val="22"/>
      <w:szCs w:val="22"/>
      <w:u w:val="none"/>
    </w:rPr>
  </w:style>
  <w:style w:type="paragraph" w:styleId="BodyText">
    <w:name w:val="Body Text"/>
    <w:basedOn w:val="Normal"/>
    <w:link w:val="BodyTextChar"/>
    <w:qFormat/>
    <w:pPr>
      <w:spacing w:line="286" w:lineRule="auto"/>
      <w:ind w:firstLine="40"/>
    </w:pPr>
    <w:rPr>
      <w:rFonts w:ascii="Times New Roman" w:eastAsia="Times New Roman" w:hAnsi="Times New Roman" w:cs="Times New Roman"/>
      <w:sz w:val="20"/>
      <w:szCs w:val="2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after="290"/>
      <w:ind w:left="3030" w:hanging="1380"/>
    </w:pPr>
    <w:rPr>
      <w:rFonts w:ascii="Times New Roman" w:eastAsia="Times New Roman" w:hAnsi="Times New Roman" w:cs="Times New Roman"/>
      <w:b/>
      <w:bCs/>
    </w:rPr>
  </w:style>
  <w:style w:type="paragraph" w:customStyle="1" w:styleId="Other0">
    <w:name w:val="Other"/>
    <w:basedOn w:val="Normal"/>
    <w:link w:val="Other"/>
    <w:pPr>
      <w:spacing w:line="286" w:lineRule="auto"/>
      <w:ind w:firstLine="40"/>
    </w:pPr>
    <w:rPr>
      <w:rFonts w:ascii="Times New Roman" w:eastAsia="Times New Roman" w:hAnsi="Times New Roman" w:cs="Times New Roman"/>
      <w:sz w:val="20"/>
      <w:szCs w:val="20"/>
    </w:rPr>
  </w:style>
  <w:style w:type="paragraph" w:customStyle="1" w:styleId="Heading10">
    <w:name w:val="Heading #1"/>
    <w:basedOn w:val="Normal"/>
    <w:link w:val="Heading1"/>
    <w:pPr>
      <w:jc w:val="center"/>
      <w:outlineLvl w:val="0"/>
    </w:pPr>
    <w:rPr>
      <w:i/>
      <w:iCs/>
      <w:sz w:val="22"/>
      <w:szCs w:val="22"/>
    </w:rPr>
  </w:style>
  <w:style w:type="paragraph" w:styleId="EndnoteText">
    <w:name w:val="endnote text"/>
    <w:basedOn w:val="Normal"/>
    <w:link w:val="EndnoteTextChar"/>
    <w:uiPriority w:val="99"/>
    <w:semiHidden/>
    <w:unhideWhenUsed/>
    <w:rsid w:val="00F81C63"/>
    <w:rPr>
      <w:sz w:val="20"/>
      <w:szCs w:val="20"/>
    </w:rPr>
  </w:style>
  <w:style w:type="character" w:customStyle="1" w:styleId="EndnoteTextChar">
    <w:name w:val="Endnote Text Char"/>
    <w:basedOn w:val="DefaultParagraphFont"/>
    <w:link w:val="EndnoteText"/>
    <w:uiPriority w:val="99"/>
    <w:semiHidden/>
    <w:rsid w:val="00F81C63"/>
    <w:rPr>
      <w:color w:val="000000"/>
      <w:sz w:val="20"/>
      <w:szCs w:val="20"/>
    </w:rPr>
  </w:style>
  <w:style w:type="character" w:styleId="EndnoteReference">
    <w:name w:val="endnote reference"/>
    <w:basedOn w:val="DefaultParagraphFont"/>
    <w:uiPriority w:val="99"/>
    <w:semiHidden/>
    <w:unhideWhenUsed/>
    <w:rsid w:val="00F81C63"/>
    <w:rPr>
      <w:vertAlign w:val="superscript"/>
    </w:rPr>
  </w:style>
  <w:style w:type="character" w:styleId="CommentReference">
    <w:name w:val="annotation reference"/>
    <w:basedOn w:val="DefaultParagraphFont"/>
    <w:uiPriority w:val="99"/>
    <w:semiHidden/>
    <w:unhideWhenUsed/>
    <w:rsid w:val="00CF5CD7"/>
    <w:rPr>
      <w:sz w:val="16"/>
      <w:szCs w:val="16"/>
    </w:rPr>
  </w:style>
  <w:style w:type="paragraph" w:styleId="CommentText">
    <w:name w:val="annotation text"/>
    <w:basedOn w:val="Normal"/>
    <w:link w:val="CommentTextChar"/>
    <w:uiPriority w:val="99"/>
    <w:semiHidden/>
    <w:unhideWhenUsed/>
    <w:rsid w:val="00CF5CD7"/>
    <w:rPr>
      <w:sz w:val="20"/>
      <w:szCs w:val="20"/>
    </w:rPr>
  </w:style>
  <w:style w:type="character" w:customStyle="1" w:styleId="CommentTextChar">
    <w:name w:val="Comment Text Char"/>
    <w:basedOn w:val="DefaultParagraphFont"/>
    <w:link w:val="CommentText"/>
    <w:uiPriority w:val="99"/>
    <w:semiHidden/>
    <w:rsid w:val="00CF5CD7"/>
    <w:rPr>
      <w:color w:val="000000"/>
      <w:sz w:val="20"/>
      <w:szCs w:val="20"/>
    </w:rPr>
  </w:style>
  <w:style w:type="paragraph" w:styleId="CommentSubject">
    <w:name w:val="annotation subject"/>
    <w:basedOn w:val="CommentText"/>
    <w:next w:val="CommentText"/>
    <w:link w:val="CommentSubjectChar"/>
    <w:uiPriority w:val="99"/>
    <w:semiHidden/>
    <w:unhideWhenUsed/>
    <w:rsid w:val="00CF5CD7"/>
    <w:rPr>
      <w:b/>
      <w:bCs/>
    </w:rPr>
  </w:style>
  <w:style w:type="character" w:customStyle="1" w:styleId="CommentSubjectChar">
    <w:name w:val="Comment Subject Char"/>
    <w:basedOn w:val="CommentTextChar"/>
    <w:link w:val="CommentSubject"/>
    <w:uiPriority w:val="99"/>
    <w:semiHidden/>
    <w:rsid w:val="00CF5CD7"/>
    <w:rPr>
      <w:b/>
      <w:bCs/>
      <w:color w:val="000000"/>
      <w:sz w:val="20"/>
      <w:szCs w:val="20"/>
    </w:rPr>
  </w:style>
  <w:style w:type="paragraph" w:styleId="Header">
    <w:name w:val="header"/>
    <w:basedOn w:val="Normal"/>
    <w:link w:val="HeaderChar"/>
    <w:uiPriority w:val="99"/>
    <w:unhideWhenUsed/>
    <w:rsid w:val="00D94F9C"/>
    <w:pPr>
      <w:tabs>
        <w:tab w:val="center" w:pos="4153"/>
        <w:tab w:val="right" w:pos="8306"/>
      </w:tabs>
    </w:pPr>
  </w:style>
  <w:style w:type="character" w:customStyle="1" w:styleId="HeaderChar">
    <w:name w:val="Header Char"/>
    <w:basedOn w:val="DefaultParagraphFont"/>
    <w:link w:val="Header"/>
    <w:uiPriority w:val="99"/>
    <w:rsid w:val="00D94F9C"/>
    <w:rPr>
      <w:color w:val="000000"/>
    </w:rPr>
  </w:style>
  <w:style w:type="paragraph" w:styleId="Footer">
    <w:name w:val="footer"/>
    <w:basedOn w:val="Normal"/>
    <w:link w:val="FooterChar"/>
    <w:uiPriority w:val="99"/>
    <w:unhideWhenUsed/>
    <w:rsid w:val="00D94F9C"/>
    <w:pPr>
      <w:tabs>
        <w:tab w:val="center" w:pos="4153"/>
        <w:tab w:val="right" w:pos="8306"/>
      </w:tabs>
    </w:pPr>
  </w:style>
  <w:style w:type="character" w:customStyle="1" w:styleId="FooterChar">
    <w:name w:val="Footer Char"/>
    <w:basedOn w:val="DefaultParagraphFont"/>
    <w:link w:val="Footer"/>
    <w:uiPriority w:val="99"/>
    <w:rsid w:val="00D94F9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F6910-1C46-4D1C-9CAF-73D3E0ED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3545</Words>
  <Characters>2021</Characters>
  <Application>Microsoft Office Word</Application>
  <DocSecurity>0</DocSecurity>
  <Lines>16</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Konica Minolta C364e-20220217130207</dc:title>
  <dc:subject/>
  <dc:creator>Agnese Simsone</dc:creator>
  <cp:keywords/>
  <cp:lastModifiedBy>Agnese Simsone</cp:lastModifiedBy>
  <cp:revision>47</cp:revision>
  <dcterms:created xsi:type="dcterms:W3CDTF">2022-03-30T07:29:00Z</dcterms:created>
  <dcterms:modified xsi:type="dcterms:W3CDTF">2022-04-01T07:54:00Z</dcterms:modified>
</cp:coreProperties>
</file>