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430F4A3A"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F85DAE">
        <w:rPr>
          <w:rFonts w:ascii="Times New Roman" w:hAnsi="Times New Roman"/>
          <w:i/>
          <w:szCs w:val="22"/>
          <w:lang w:val="lv-LV"/>
        </w:rPr>
        <w:t>1</w:t>
      </w:r>
      <w:r w:rsidR="00427720" w:rsidRPr="004067A0">
        <w:rPr>
          <w:rFonts w:ascii="Times New Roman" w:hAnsi="Times New Roman"/>
          <w:i/>
          <w:szCs w:val="22"/>
          <w:lang w:val="lv-LV"/>
        </w:rPr>
        <w:t>.</w:t>
      </w:r>
      <w:r w:rsidR="00F85DAE">
        <w:rPr>
          <w:rFonts w:ascii="Times New Roman" w:hAnsi="Times New Roman"/>
          <w:i/>
          <w:szCs w:val="22"/>
          <w:lang w:val="lv-LV"/>
        </w:rPr>
        <w:t xml:space="preserve">jūnija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893996">
        <w:rPr>
          <w:rFonts w:ascii="Times New Roman" w:hAnsi="Times New Roman"/>
          <w:i/>
          <w:szCs w:val="22"/>
          <w:lang w:val="lv-LV"/>
        </w:rPr>
        <w:t>215</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C11DC21"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5D1F37">
        <w:rPr>
          <w:rFonts w:ascii="Times New Roman" w:hAnsi="Times New Roman"/>
          <w:b/>
          <w:sz w:val="24"/>
          <w:szCs w:val="24"/>
          <w:lang w:val="lv-LV"/>
        </w:rPr>
        <w:t>Viļakā</w:t>
      </w:r>
      <w:r w:rsidR="00B22D92" w:rsidRPr="004067A0">
        <w:rPr>
          <w:rFonts w:ascii="Times New Roman" w:hAnsi="Times New Roman"/>
          <w:b/>
          <w:sz w:val="24"/>
          <w:szCs w:val="24"/>
          <w:lang w:val="lv-LV"/>
        </w:rPr>
        <w:t xml:space="preserve"> </w:t>
      </w:r>
      <w:r w:rsidR="007F284F">
        <w:rPr>
          <w:rFonts w:ascii="Times New Roman" w:hAnsi="Times New Roman"/>
          <w:b/>
          <w:sz w:val="24"/>
          <w:szCs w:val="24"/>
          <w:lang w:val="lv-LV"/>
        </w:rPr>
        <w:t>88</w:t>
      </w:r>
      <w:r w:rsidR="004067A0" w:rsidRPr="004067A0">
        <w:rPr>
          <w:rFonts w:ascii="Times New Roman" w:hAnsi="Times New Roman"/>
          <w:b/>
          <w:sz w:val="24"/>
          <w:szCs w:val="24"/>
          <w:lang w:val="lv-LV"/>
        </w:rPr>
        <w:t>,</w:t>
      </w:r>
      <w:r w:rsidR="00F85DAE">
        <w:rPr>
          <w:rFonts w:ascii="Times New Roman" w:hAnsi="Times New Roman"/>
          <w:b/>
          <w:sz w:val="24"/>
          <w:szCs w:val="24"/>
          <w:lang w:val="lv-LV"/>
        </w:rPr>
        <w:t>7</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43F93445"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5D1F37">
        <w:rPr>
          <w:rFonts w:ascii="Times New Roman" w:hAnsi="Times New Roman"/>
          <w:sz w:val="24"/>
          <w:szCs w:val="24"/>
          <w:lang w:val="lv-LV"/>
        </w:rPr>
        <w:t>Viļakā</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B22D92">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307F08B5"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5D1F37">
        <w:rPr>
          <w:rFonts w:ascii="Times New Roman" w:hAnsi="Times New Roman"/>
          <w:sz w:val="24"/>
          <w:szCs w:val="24"/>
          <w:lang w:val="lv-LV"/>
        </w:rPr>
        <w:t>Viļakā</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288CCBEF"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C44087">
        <w:rPr>
          <w:rFonts w:ascii="Times New Roman" w:hAnsi="Times New Roman"/>
          <w:sz w:val="24"/>
          <w:szCs w:val="24"/>
          <w:lang w:val="lv-LV"/>
        </w:rPr>
        <w:t>Viļaka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42C8DC4B"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5D1F37">
        <w:rPr>
          <w:rFonts w:ascii="Times New Roman" w:hAnsi="Times New Roman"/>
          <w:sz w:val="24"/>
          <w:szCs w:val="24"/>
          <w:lang w:val="lv-LV"/>
        </w:rPr>
        <w:t>Viļaka</w:t>
      </w:r>
      <w:r w:rsidR="0038237C" w:rsidRPr="004067A0">
        <w:rPr>
          <w:rFonts w:ascii="Times New Roman" w:hAnsi="Times New Roman"/>
          <w:sz w:val="24"/>
          <w:szCs w:val="24"/>
          <w:lang w:val="lv-LV"/>
        </w:rPr>
        <w:t>;</w:t>
      </w:r>
    </w:p>
    <w:p w14:paraId="11596885" w14:textId="083421A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7F284F">
        <w:rPr>
          <w:rFonts w:ascii="Times New Roman" w:hAnsi="Times New Roman"/>
          <w:sz w:val="24"/>
          <w:szCs w:val="24"/>
          <w:lang w:val="lv-LV"/>
        </w:rPr>
        <w:t>88</w:t>
      </w:r>
      <w:r w:rsidR="001406EB" w:rsidRPr="004067A0">
        <w:rPr>
          <w:rFonts w:ascii="Times New Roman" w:hAnsi="Times New Roman"/>
          <w:sz w:val="24"/>
          <w:szCs w:val="24"/>
          <w:lang w:val="lv-LV"/>
        </w:rPr>
        <w:t>,</w:t>
      </w:r>
      <w:r w:rsidR="00F85DAE">
        <w:rPr>
          <w:rFonts w:ascii="Times New Roman" w:hAnsi="Times New Roman"/>
          <w:sz w:val="24"/>
          <w:szCs w:val="24"/>
          <w:lang w:val="lv-LV"/>
        </w:rPr>
        <w:t>7</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39E3D574"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5D1F37">
        <w:rPr>
          <w:rFonts w:ascii="Times New Roman" w:hAnsi="Times New Roman"/>
          <w:sz w:val="24"/>
          <w:szCs w:val="24"/>
          <w:lang w:val="lv-LV"/>
        </w:rPr>
        <w:t>60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0BB8CCCF"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7F284F">
        <w:rPr>
          <w:rFonts w:ascii="Times New Roman" w:hAnsi="Times New Roman"/>
          <w:sz w:val="24"/>
          <w:szCs w:val="24"/>
          <w:lang w:val="lv-LV"/>
        </w:rPr>
        <w:t>17</w:t>
      </w:r>
      <w:r w:rsidR="00B10C1F" w:rsidRPr="004067A0">
        <w:rPr>
          <w:rFonts w:ascii="Times New Roman" w:hAnsi="Times New Roman"/>
          <w:sz w:val="24"/>
          <w:szCs w:val="24"/>
          <w:lang w:val="lv-LV"/>
        </w:rPr>
        <w:t>;</w:t>
      </w:r>
    </w:p>
    <w:p w14:paraId="232EB1D9" w14:textId="5D998A45"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5D1F37">
        <w:rPr>
          <w:rFonts w:ascii="Times New Roman" w:hAnsi="Times New Roman"/>
          <w:sz w:val="24"/>
          <w:szCs w:val="24"/>
          <w:lang w:val="lv-LV"/>
        </w:rPr>
        <w:t>10</w:t>
      </w:r>
      <w:r w:rsidR="00A756F4" w:rsidRPr="004067A0">
        <w:rPr>
          <w:rFonts w:ascii="Times New Roman" w:hAnsi="Times New Roman"/>
          <w:sz w:val="24"/>
          <w:szCs w:val="24"/>
          <w:lang w:val="lv-LV"/>
        </w:rPr>
        <w:t>-</w:t>
      </w:r>
      <w:r w:rsidR="007F284F">
        <w:rPr>
          <w:rFonts w:ascii="Times New Roman" w:hAnsi="Times New Roman"/>
          <w:sz w:val="24"/>
          <w:szCs w:val="24"/>
          <w:lang w:val="lv-LV"/>
        </w:rPr>
        <w:t>1</w:t>
      </w:r>
      <w:r w:rsidR="005D1F37">
        <w:rPr>
          <w:rFonts w:ascii="Times New Roman" w:hAnsi="Times New Roman"/>
          <w:sz w:val="24"/>
          <w:szCs w:val="24"/>
          <w:lang w:val="lv-LV"/>
        </w:rPr>
        <w:t>1</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64ABAC29" w:rsidR="006400B6" w:rsidRPr="00BE098C" w:rsidRDefault="009C1EE4" w:rsidP="00A95FDB">
      <w:pPr>
        <w:pStyle w:val="ListParagraph"/>
        <w:numPr>
          <w:ilvl w:val="0"/>
          <w:numId w:val="2"/>
        </w:numPr>
        <w:spacing w:line="276" w:lineRule="auto"/>
        <w:jc w:val="both"/>
        <w:rPr>
          <w:rFonts w:ascii="Times New Roman" w:hAnsi="Times New Roman"/>
          <w:sz w:val="24"/>
          <w:szCs w:val="24"/>
          <w:lang w:val="lv-LV"/>
        </w:rPr>
      </w:pPr>
      <w:r w:rsidRPr="00BE098C">
        <w:rPr>
          <w:rFonts w:ascii="Times New Roman" w:hAnsi="Times New Roman"/>
          <w:sz w:val="24"/>
          <w:szCs w:val="24"/>
          <w:lang w:val="lv-LV"/>
        </w:rPr>
        <w:t>Konkursa</w:t>
      </w:r>
      <w:r w:rsidR="0061187C" w:rsidRPr="00BE098C">
        <w:rPr>
          <w:rFonts w:ascii="Times New Roman" w:hAnsi="Times New Roman"/>
          <w:sz w:val="24"/>
          <w:szCs w:val="24"/>
          <w:lang w:val="lv-LV"/>
        </w:rPr>
        <w:t xml:space="preserve"> </w:t>
      </w:r>
      <w:r w:rsidR="00245EA2" w:rsidRPr="00BE098C">
        <w:rPr>
          <w:rFonts w:ascii="Times New Roman" w:hAnsi="Times New Roman"/>
          <w:sz w:val="24"/>
          <w:szCs w:val="24"/>
          <w:lang w:val="lv-LV"/>
        </w:rPr>
        <w:t>pie</w:t>
      </w:r>
      <w:r w:rsidR="002E2703" w:rsidRPr="00BE098C">
        <w:rPr>
          <w:rFonts w:ascii="Times New Roman" w:hAnsi="Times New Roman"/>
          <w:sz w:val="24"/>
          <w:szCs w:val="24"/>
          <w:lang w:val="lv-LV"/>
        </w:rPr>
        <w:t>dāvājuma</w:t>
      </w:r>
      <w:r w:rsidR="00245EA2" w:rsidRPr="00BE098C">
        <w:rPr>
          <w:rFonts w:ascii="Times New Roman" w:hAnsi="Times New Roman"/>
          <w:sz w:val="24"/>
          <w:szCs w:val="24"/>
          <w:lang w:val="lv-LV"/>
        </w:rPr>
        <w:t xml:space="preserve"> </w:t>
      </w:r>
      <w:r w:rsidR="00A95FDB" w:rsidRPr="00BE098C">
        <w:rPr>
          <w:rFonts w:ascii="Times New Roman" w:hAnsi="Times New Roman"/>
          <w:sz w:val="24"/>
          <w:szCs w:val="24"/>
          <w:lang w:val="lv-LV"/>
        </w:rPr>
        <w:t xml:space="preserve">iesniegšanas termiņš </w:t>
      </w:r>
      <w:r w:rsidRPr="00BE098C">
        <w:rPr>
          <w:rFonts w:ascii="Times New Roman" w:hAnsi="Times New Roman"/>
          <w:sz w:val="24"/>
          <w:szCs w:val="24"/>
          <w:lang w:val="lv-LV"/>
        </w:rPr>
        <w:t xml:space="preserve">– </w:t>
      </w:r>
      <w:r w:rsidR="00245EA2" w:rsidRPr="00BE098C">
        <w:rPr>
          <w:rFonts w:ascii="Times New Roman" w:hAnsi="Times New Roman"/>
          <w:b/>
          <w:sz w:val="24"/>
          <w:szCs w:val="24"/>
          <w:lang w:val="lv-LV"/>
        </w:rPr>
        <w:t xml:space="preserve">līdz </w:t>
      </w:r>
      <w:r w:rsidR="0033661F" w:rsidRPr="00BE098C">
        <w:rPr>
          <w:rFonts w:ascii="Times New Roman" w:hAnsi="Times New Roman"/>
          <w:b/>
          <w:sz w:val="24"/>
          <w:szCs w:val="24"/>
          <w:lang w:val="lv-LV"/>
        </w:rPr>
        <w:t>2023</w:t>
      </w:r>
      <w:r w:rsidR="00245EA2" w:rsidRPr="00BE098C">
        <w:rPr>
          <w:rFonts w:ascii="Times New Roman" w:hAnsi="Times New Roman"/>
          <w:b/>
          <w:sz w:val="24"/>
          <w:szCs w:val="24"/>
          <w:lang w:val="lv-LV"/>
        </w:rPr>
        <w:t>.gada</w:t>
      </w:r>
      <w:r w:rsidR="004278CE" w:rsidRPr="00BE098C">
        <w:rPr>
          <w:rFonts w:ascii="Times New Roman" w:hAnsi="Times New Roman"/>
          <w:b/>
          <w:sz w:val="24"/>
          <w:szCs w:val="24"/>
          <w:lang w:val="lv-LV"/>
        </w:rPr>
        <w:t xml:space="preserve"> </w:t>
      </w:r>
      <w:r w:rsidR="00BE098C" w:rsidRPr="00BE098C">
        <w:rPr>
          <w:rFonts w:ascii="Times New Roman" w:hAnsi="Times New Roman"/>
          <w:b/>
          <w:sz w:val="24"/>
          <w:szCs w:val="24"/>
          <w:lang w:val="lv-LV"/>
        </w:rPr>
        <w:t>29</w:t>
      </w:r>
      <w:r w:rsidRPr="00BE098C">
        <w:rPr>
          <w:rFonts w:ascii="Times New Roman" w:hAnsi="Times New Roman"/>
          <w:b/>
          <w:sz w:val="24"/>
          <w:szCs w:val="24"/>
          <w:lang w:val="lv-LV"/>
        </w:rPr>
        <w:t>.</w:t>
      </w:r>
      <w:r w:rsidR="00F85DAE" w:rsidRPr="00BE098C">
        <w:rPr>
          <w:rFonts w:ascii="Times New Roman" w:hAnsi="Times New Roman"/>
          <w:b/>
          <w:sz w:val="24"/>
          <w:szCs w:val="24"/>
          <w:lang w:val="lv-LV"/>
        </w:rPr>
        <w:t xml:space="preserve">jūnijam </w:t>
      </w:r>
      <w:r w:rsidR="006674B8" w:rsidRPr="00BE098C">
        <w:rPr>
          <w:rFonts w:ascii="Times New Roman" w:hAnsi="Times New Roman"/>
          <w:b/>
          <w:sz w:val="24"/>
          <w:szCs w:val="24"/>
          <w:lang w:val="lv-LV"/>
        </w:rPr>
        <w:t>plkst.1</w:t>
      </w:r>
      <w:r w:rsidR="00A12B6F" w:rsidRPr="00BE098C">
        <w:rPr>
          <w:rFonts w:ascii="Times New Roman" w:hAnsi="Times New Roman"/>
          <w:b/>
          <w:sz w:val="24"/>
          <w:szCs w:val="24"/>
          <w:lang w:val="lv-LV"/>
        </w:rPr>
        <w:t>0</w:t>
      </w:r>
      <w:r w:rsidR="006674B8" w:rsidRPr="00BE098C">
        <w:rPr>
          <w:rFonts w:ascii="Times New Roman" w:hAnsi="Times New Roman"/>
          <w:b/>
          <w:sz w:val="24"/>
          <w:szCs w:val="24"/>
          <w:lang w:val="lv-LV"/>
        </w:rPr>
        <w:t>.00</w:t>
      </w:r>
      <w:r w:rsidR="005B5240" w:rsidRPr="00BE098C">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25AC6535"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5D1F37">
        <w:rPr>
          <w:rFonts w:ascii="Times New Roman" w:hAnsi="Times New Roman"/>
          <w:i/>
          <w:iCs/>
          <w:sz w:val="24"/>
          <w:szCs w:val="24"/>
          <w:lang w:val="lv-LV"/>
        </w:rPr>
        <w:t>Viļakā</w:t>
      </w:r>
      <w:r w:rsidR="005C4B4F" w:rsidRPr="004067A0">
        <w:rPr>
          <w:rFonts w:ascii="Times New Roman" w:hAnsi="Times New Roman"/>
          <w:i/>
          <w:iCs/>
          <w:sz w:val="24"/>
          <w:szCs w:val="24"/>
          <w:lang w:val="lv-LV"/>
        </w:rPr>
        <w:t xml:space="preserve"> </w:t>
      </w:r>
      <w:r w:rsidR="007F284F">
        <w:rPr>
          <w:rFonts w:ascii="Times New Roman" w:hAnsi="Times New Roman"/>
          <w:i/>
          <w:iCs/>
          <w:sz w:val="24"/>
          <w:szCs w:val="24"/>
          <w:lang w:val="lv-LV"/>
        </w:rPr>
        <w:t>88</w:t>
      </w:r>
      <w:r w:rsidR="000630B0">
        <w:rPr>
          <w:rFonts w:ascii="Times New Roman" w:hAnsi="Times New Roman"/>
          <w:i/>
          <w:iCs/>
          <w:sz w:val="24"/>
          <w:szCs w:val="24"/>
          <w:lang w:val="lv-LV"/>
        </w:rPr>
        <w:t>,</w:t>
      </w:r>
      <w:r w:rsidR="00F85DAE">
        <w:rPr>
          <w:rFonts w:ascii="Times New Roman" w:hAnsi="Times New Roman"/>
          <w:i/>
          <w:iCs/>
          <w:sz w:val="24"/>
          <w:szCs w:val="24"/>
          <w:lang w:val="lv-LV"/>
        </w:rPr>
        <w:t>7</w:t>
      </w:r>
      <w:r w:rsidR="000630B0">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F85DAE">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F85DAE">
      <w:pPr>
        <w:pStyle w:val="ListParagraph"/>
        <w:numPr>
          <w:ilvl w:val="2"/>
          <w:numId w:val="2"/>
        </w:numPr>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45538D4D" w:rsidR="00281294" w:rsidRPr="00893996"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893996">
        <w:rPr>
          <w:rFonts w:ascii="Times New Roman" w:hAnsi="Times New Roman"/>
          <w:sz w:val="24"/>
          <w:szCs w:val="24"/>
          <w:lang w:val="lv-LV"/>
        </w:rPr>
        <w:t>Konkursa</w:t>
      </w:r>
      <w:r w:rsidR="008977ED" w:rsidRPr="00893996">
        <w:rPr>
          <w:rFonts w:ascii="Times New Roman" w:hAnsi="Times New Roman"/>
          <w:sz w:val="24"/>
          <w:szCs w:val="24"/>
          <w:lang w:val="lv-LV"/>
        </w:rPr>
        <w:t xml:space="preserve"> </w:t>
      </w:r>
      <w:r w:rsidR="002E2703" w:rsidRPr="00893996">
        <w:rPr>
          <w:rFonts w:ascii="Times New Roman" w:hAnsi="Times New Roman"/>
          <w:sz w:val="24"/>
          <w:szCs w:val="24"/>
          <w:lang w:val="lv-LV"/>
        </w:rPr>
        <w:t>piedāvājumu</w:t>
      </w:r>
      <w:r w:rsidR="008977ED" w:rsidRPr="00893996">
        <w:rPr>
          <w:rFonts w:ascii="Times New Roman" w:hAnsi="Times New Roman"/>
          <w:sz w:val="24"/>
          <w:szCs w:val="24"/>
          <w:lang w:val="lv-LV"/>
        </w:rPr>
        <w:t xml:space="preserve"> </w:t>
      </w:r>
      <w:r w:rsidRPr="00893996">
        <w:rPr>
          <w:rFonts w:ascii="Times New Roman" w:hAnsi="Times New Roman"/>
          <w:sz w:val="24"/>
          <w:szCs w:val="24"/>
          <w:lang w:val="lv-LV"/>
        </w:rPr>
        <w:t>izvērtēšana un lēmuma pieņemšana notiek ne</w:t>
      </w:r>
      <w:r w:rsidR="00281294" w:rsidRPr="00893996">
        <w:rPr>
          <w:rFonts w:ascii="Times New Roman" w:hAnsi="Times New Roman"/>
          <w:sz w:val="24"/>
          <w:szCs w:val="24"/>
          <w:lang w:val="lv-LV"/>
        </w:rPr>
        <w:t xml:space="preserve"> </w:t>
      </w:r>
      <w:bookmarkEnd w:id="11"/>
      <w:r w:rsidR="00996702" w:rsidRPr="00893996">
        <w:rPr>
          <w:rFonts w:ascii="Times New Roman" w:hAnsi="Times New Roman"/>
          <w:sz w:val="24"/>
          <w:szCs w:val="24"/>
          <w:lang w:val="lv-LV"/>
        </w:rPr>
        <w:t xml:space="preserve">vēlāk kā </w:t>
      </w:r>
      <w:r w:rsidR="00A95FDB" w:rsidRPr="00893996">
        <w:rPr>
          <w:rFonts w:ascii="Times New Roman" w:hAnsi="Times New Roman"/>
          <w:sz w:val="24"/>
          <w:szCs w:val="24"/>
          <w:lang w:val="lv-LV"/>
        </w:rPr>
        <w:t xml:space="preserve">līdz </w:t>
      </w:r>
      <w:r w:rsidR="00996702" w:rsidRPr="00893996">
        <w:rPr>
          <w:rFonts w:ascii="Times New Roman" w:hAnsi="Times New Roman"/>
          <w:sz w:val="24"/>
          <w:szCs w:val="24"/>
          <w:lang w:val="lv-LV"/>
        </w:rPr>
        <w:t>20</w:t>
      </w:r>
      <w:r w:rsidR="007F7742" w:rsidRPr="00893996">
        <w:rPr>
          <w:rFonts w:ascii="Times New Roman" w:hAnsi="Times New Roman"/>
          <w:sz w:val="24"/>
          <w:szCs w:val="24"/>
          <w:lang w:val="lv-LV"/>
        </w:rPr>
        <w:t>2</w:t>
      </w:r>
      <w:r w:rsidR="00D901CA" w:rsidRPr="00893996">
        <w:rPr>
          <w:rFonts w:ascii="Times New Roman" w:hAnsi="Times New Roman"/>
          <w:sz w:val="24"/>
          <w:szCs w:val="24"/>
          <w:lang w:val="lv-LV"/>
        </w:rPr>
        <w:t>3</w:t>
      </w:r>
      <w:r w:rsidR="00996702" w:rsidRPr="00893996">
        <w:rPr>
          <w:rFonts w:ascii="Times New Roman" w:hAnsi="Times New Roman"/>
          <w:sz w:val="24"/>
          <w:szCs w:val="24"/>
          <w:lang w:val="lv-LV"/>
        </w:rPr>
        <w:t xml:space="preserve">.gada </w:t>
      </w:r>
      <w:r w:rsidR="00893996" w:rsidRPr="00893996">
        <w:rPr>
          <w:rFonts w:ascii="Times New Roman" w:hAnsi="Times New Roman"/>
          <w:sz w:val="24"/>
          <w:szCs w:val="24"/>
          <w:lang w:val="lv-LV"/>
        </w:rPr>
        <w:t>21</w:t>
      </w:r>
      <w:r w:rsidR="00A95FDB" w:rsidRPr="00893996">
        <w:rPr>
          <w:rFonts w:ascii="Times New Roman" w:hAnsi="Times New Roman"/>
          <w:sz w:val="24"/>
          <w:szCs w:val="24"/>
          <w:lang w:val="lv-LV"/>
        </w:rPr>
        <w:t>.</w:t>
      </w:r>
      <w:r w:rsidR="00893996" w:rsidRPr="00893996">
        <w:rPr>
          <w:rFonts w:ascii="Times New Roman" w:hAnsi="Times New Roman"/>
          <w:sz w:val="24"/>
          <w:szCs w:val="24"/>
          <w:lang w:val="lv-LV"/>
        </w:rPr>
        <w:t>septembrim</w:t>
      </w:r>
      <w:r w:rsidR="00A756F4" w:rsidRPr="00893996">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1B2294">
      <w:pPr>
        <w:rPr>
          <w:rFonts w:ascii="Times New Roman" w:hAnsi="Times New Roman"/>
          <w:sz w:val="24"/>
          <w:szCs w:val="24"/>
          <w:lang w:val="lv-LV"/>
        </w:rPr>
      </w:pPr>
    </w:p>
    <w:p w14:paraId="33967326" w14:textId="16918877"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DF5404">
        <w:rPr>
          <w:rFonts w:ascii="Times New Roman" w:hAnsi="Times New Roman"/>
          <w:sz w:val="24"/>
          <w:szCs w:val="24"/>
          <w:lang w:val="lv-LV"/>
        </w:rPr>
        <w:t>Viļakā</w:t>
      </w:r>
      <w:r w:rsidR="005C4B4F" w:rsidRPr="00D901CA">
        <w:rPr>
          <w:rFonts w:ascii="Times New Roman" w:hAnsi="Times New Roman"/>
          <w:sz w:val="24"/>
          <w:szCs w:val="24"/>
          <w:lang w:val="lv-LV"/>
        </w:rPr>
        <w:t xml:space="preserve"> </w:t>
      </w:r>
      <w:r w:rsidR="007F284F">
        <w:rPr>
          <w:rFonts w:ascii="Times New Roman" w:hAnsi="Times New Roman"/>
          <w:sz w:val="24"/>
          <w:szCs w:val="24"/>
          <w:lang w:val="lv-LV"/>
        </w:rPr>
        <w:t>88</w:t>
      </w:r>
      <w:r w:rsidR="00D901CA" w:rsidRPr="00D901CA">
        <w:rPr>
          <w:rFonts w:ascii="Times New Roman" w:hAnsi="Times New Roman"/>
          <w:sz w:val="24"/>
          <w:szCs w:val="24"/>
          <w:lang w:val="lv-LV"/>
        </w:rPr>
        <w:t>,</w:t>
      </w:r>
      <w:r w:rsidR="00F85DAE">
        <w:rPr>
          <w:rFonts w:ascii="Times New Roman" w:hAnsi="Times New Roman"/>
          <w:sz w:val="24"/>
          <w:szCs w:val="24"/>
          <w:lang w:val="lv-LV"/>
        </w:rPr>
        <w:t>7</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612C241D"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DF5404">
        <w:rPr>
          <w:rFonts w:ascii="Times New Roman" w:hAnsi="Times New Roman"/>
          <w:i/>
          <w:sz w:val="20"/>
          <w:lang w:val="lv-LV"/>
        </w:rPr>
        <w:t>Viļakā</w:t>
      </w:r>
      <w:r w:rsidR="005C4B4F" w:rsidRPr="00D901CA">
        <w:rPr>
          <w:rFonts w:ascii="Times New Roman" w:hAnsi="Times New Roman"/>
          <w:i/>
          <w:sz w:val="20"/>
          <w:lang w:val="lv-LV"/>
        </w:rPr>
        <w:t xml:space="preserve"> </w:t>
      </w:r>
      <w:r w:rsidR="007F284F">
        <w:rPr>
          <w:rFonts w:ascii="Times New Roman" w:hAnsi="Times New Roman"/>
          <w:i/>
          <w:sz w:val="20"/>
          <w:lang w:val="lv-LV"/>
        </w:rPr>
        <w:t>88</w:t>
      </w:r>
      <w:r w:rsidR="005C4B4F" w:rsidRPr="00D901CA">
        <w:rPr>
          <w:rFonts w:ascii="Times New Roman" w:hAnsi="Times New Roman"/>
          <w:i/>
          <w:sz w:val="20"/>
          <w:lang w:val="lv-LV"/>
        </w:rPr>
        <w:t>,</w:t>
      </w:r>
      <w:r w:rsidR="00F85DAE">
        <w:rPr>
          <w:rFonts w:ascii="Times New Roman" w:hAnsi="Times New Roman"/>
          <w:i/>
          <w:sz w:val="20"/>
          <w:lang w:val="lv-LV"/>
        </w:rPr>
        <w:t>7</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C412C15"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DF5404">
        <w:rPr>
          <w:rFonts w:ascii="Times New Roman" w:hAnsi="Times New Roman"/>
          <w:b/>
          <w:bCs/>
          <w:sz w:val="26"/>
          <w:szCs w:val="26"/>
          <w:lang w:val="lv-LV"/>
        </w:rPr>
        <w:t>Viļakā</w:t>
      </w:r>
      <w:r w:rsidR="005C4B4F" w:rsidRPr="00F85DAE">
        <w:rPr>
          <w:rFonts w:ascii="Times New Roman" w:hAnsi="Times New Roman"/>
          <w:b/>
          <w:bCs/>
          <w:sz w:val="26"/>
          <w:szCs w:val="26"/>
          <w:lang w:val="lv-LV"/>
        </w:rPr>
        <w:t xml:space="preserve"> </w:t>
      </w:r>
      <w:r w:rsidR="007F284F">
        <w:rPr>
          <w:rFonts w:ascii="Times New Roman" w:hAnsi="Times New Roman"/>
          <w:b/>
          <w:bCs/>
          <w:sz w:val="26"/>
          <w:szCs w:val="26"/>
          <w:lang w:val="lv-LV"/>
        </w:rPr>
        <w:t>88,</w:t>
      </w:r>
      <w:r w:rsidR="00F85DAE">
        <w:rPr>
          <w:rFonts w:ascii="Times New Roman" w:hAnsi="Times New Roman"/>
          <w:b/>
          <w:bCs/>
          <w:sz w:val="26"/>
          <w:szCs w:val="26"/>
          <w:lang w:val="lv-LV"/>
        </w:rPr>
        <w:t>7</w:t>
      </w:r>
      <w:r w:rsidR="005C4B4F" w:rsidRPr="00F85DAE">
        <w:rPr>
          <w:rFonts w:ascii="Times New Roman" w:hAnsi="Times New Roman"/>
          <w:b/>
          <w:bCs/>
          <w:sz w:val="26"/>
          <w:szCs w:val="26"/>
          <w:lang w:val="lv-LV"/>
        </w:rPr>
        <w:t xml:space="preserve"> </w:t>
      </w:r>
      <w:bookmarkEnd w:id="14"/>
      <w:proofErr w:type="spellStart"/>
      <w:r w:rsidR="00F93295" w:rsidRPr="00F85D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0244ECD5"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DF5404">
        <w:rPr>
          <w:rFonts w:ascii="Times New Roman" w:hAnsi="Times New Roman"/>
          <w:i/>
          <w:sz w:val="20"/>
          <w:lang w:val="lv-LV"/>
        </w:rPr>
        <w:t>Viļakā</w:t>
      </w:r>
      <w:r w:rsidR="00D901CA" w:rsidRPr="00D901CA">
        <w:rPr>
          <w:rFonts w:ascii="Times New Roman" w:hAnsi="Times New Roman"/>
          <w:i/>
          <w:sz w:val="20"/>
          <w:lang w:val="lv-LV"/>
        </w:rPr>
        <w:t xml:space="preserve"> </w:t>
      </w:r>
      <w:r w:rsidR="007F284F">
        <w:rPr>
          <w:rFonts w:ascii="Times New Roman" w:hAnsi="Times New Roman"/>
          <w:i/>
          <w:sz w:val="20"/>
          <w:lang w:val="lv-LV"/>
        </w:rPr>
        <w:t>88</w:t>
      </w:r>
      <w:r w:rsidR="00D901CA" w:rsidRPr="00D901CA">
        <w:rPr>
          <w:rFonts w:ascii="Times New Roman" w:hAnsi="Times New Roman"/>
          <w:i/>
          <w:sz w:val="20"/>
          <w:lang w:val="lv-LV"/>
        </w:rPr>
        <w:t>,</w:t>
      </w:r>
      <w:r w:rsidR="001C3EE8">
        <w:rPr>
          <w:rFonts w:ascii="Times New Roman" w:hAnsi="Times New Roman"/>
          <w:i/>
          <w:sz w:val="20"/>
          <w:lang w:val="lv-LV"/>
        </w:rPr>
        <w:t>7</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2"/>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6E6" w14:textId="77777777" w:rsidR="00590724" w:rsidRDefault="00590724" w:rsidP="00851A8C">
      <w:r>
        <w:separator/>
      </w:r>
    </w:p>
  </w:endnote>
  <w:endnote w:type="continuationSeparator" w:id="0">
    <w:p w14:paraId="721FE4B3" w14:textId="77777777" w:rsidR="00590724" w:rsidRDefault="00590724" w:rsidP="00851A8C">
      <w:r>
        <w:continuationSeparator/>
      </w:r>
    </w:p>
  </w:endnote>
  <w:endnote w:type="continuationNotice" w:id="1">
    <w:p w14:paraId="1FCB0765" w14:textId="77777777" w:rsidR="00590724" w:rsidRDefault="00590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0B52" w14:textId="77777777" w:rsidR="00590724" w:rsidRDefault="00590724" w:rsidP="00851A8C">
      <w:r>
        <w:separator/>
      </w:r>
    </w:p>
  </w:footnote>
  <w:footnote w:type="continuationSeparator" w:id="0">
    <w:p w14:paraId="7E9B852C" w14:textId="77777777" w:rsidR="00590724" w:rsidRDefault="00590724" w:rsidP="00851A8C">
      <w:r>
        <w:continuationSeparator/>
      </w:r>
    </w:p>
  </w:footnote>
  <w:footnote w:type="continuationNotice" w:id="1">
    <w:p w14:paraId="4F229BC5" w14:textId="77777777" w:rsidR="00590724" w:rsidRDefault="00590724"/>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56377"/>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3996"/>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4087"/>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12049</Words>
  <Characters>6868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2023-05-31T11:15:00Z</dcterms:created>
  <dcterms:modified xsi:type="dcterms:W3CDTF">2023-06-01T12:12:00Z</dcterms:modified>
</cp:coreProperties>
</file>